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754" w:rsidRPr="008C1925" w:rsidRDefault="00DF7754" w:rsidP="00DF7754">
      <w:pPr>
        <w:spacing w:line="360" w:lineRule="auto"/>
        <w:jc w:val="right"/>
        <w:rPr>
          <w:rFonts w:ascii="PT Astra Serif" w:hAnsi="PT Astra Serif" w:cs="Times New Roman"/>
          <w:b/>
          <w:sz w:val="28"/>
          <w:szCs w:val="28"/>
        </w:rPr>
      </w:pPr>
      <w:r>
        <w:rPr>
          <w:rFonts w:ascii="PT Astra Serif" w:hAnsi="PT Astra Serif" w:cs="Times New Roman"/>
          <w:b/>
          <w:sz w:val="28"/>
          <w:szCs w:val="28"/>
        </w:rPr>
        <w:t xml:space="preserve">Приложение </w:t>
      </w:r>
      <w:r w:rsidRPr="008C1925">
        <w:rPr>
          <w:rFonts w:ascii="PT Astra Serif" w:hAnsi="PT Astra Serif" w:cs="Times New Roman"/>
          <w:b/>
          <w:sz w:val="28"/>
          <w:szCs w:val="28"/>
        </w:rPr>
        <w:t>1</w:t>
      </w:r>
    </w:p>
    <w:p w:rsidR="00DF7754" w:rsidRPr="008C1925" w:rsidRDefault="00DF7754" w:rsidP="00DF7754">
      <w:pPr>
        <w:spacing w:after="0" w:line="360" w:lineRule="auto"/>
        <w:jc w:val="center"/>
        <w:outlineLvl w:val="2"/>
        <w:rPr>
          <w:rFonts w:ascii="PT Astra Serif" w:eastAsia="Times New Roman" w:hAnsi="PT Astra Serif" w:cs="Arial"/>
          <w:b/>
          <w:bCs/>
          <w:color w:val="282828"/>
          <w:sz w:val="28"/>
          <w:szCs w:val="28"/>
        </w:rPr>
      </w:pPr>
      <w:r w:rsidRPr="008C1925">
        <w:rPr>
          <w:rFonts w:ascii="PT Astra Serif" w:eastAsia="Times New Roman" w:hAnsi="PT Astra Serif" w:cs="Arial"/>
          <w:b/>
          <w:bCs/>
          <w:color w:val="282828"/>
          <w:sz w:val="28"/>
          <w:szCs w:val="28"/>
        </w:rPr>
        <w:t>Средние месячные и годо</w:t>
      </w:r>
      <w:r w:rsidR="00D256C0">
        <w:rPr>
          <w:rFonts w:ascii="PT Astra Serif" w:eastAsia="Times New Roman" w:hAnsi="PT Astra Serif" w:cs="Arial"/>
          <w:b/>
          <w:bCs/>
          <w:color w:val="282828"/>
          <w:sz w:val="28"/>
          <w:szCs w:val="28"/>
        </w:rPr>
        <w:t>вые температуры воздуха в г.Надым</w:t>
      </w:r>
    </w:p>
    <w:p w:rsidR="00DF7754" w:rsidRPr="008C1925" w:rsidRDefault="00DF7754" w:rsidP="00DF7754">
      <w:pPr>
        <w:spacing w:after="0" w:line="360" w:lineRule="auto"/>
        <w:jc w:val="center"/>
        <w:rPr>
          <w:rFonts w:ascii="PT Astra Serif" w:eastAsia="Times New Roman" w:hAnsi="PT Astra Serif" w:cs="Arial"/>
          <w:color w:val="000000" w:themeColor="text1"/>
          <w:sz w:val="28"/>
          <w:szCs w:val="28"/>
        </w:rPr>
      </w:pPr>
      <w:r w:rsidRPr="008C1925">
        <w:rPr>
          <w:rFonts w:ascii="PT Astra Serif" w:eastAsia="Times New Roman" w:hAnsi="PT Astra Serif" w:cs="Arial"/>
          <w:color w:val="000000" w:themeColor="text1"/>
          <w:sz w:val="28"/>
          <w:szCs w:val="28"/>
        </w:rPr>
        <w:t>(по online данным и литературным источникам)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0"/>
        <w:gridCol w:w="705"/>
        <w:gridCol w:w="706"/>
        <w:gridCol w:w="706"/>
        <w:gridCol w:w="706"/>
        <w:gridCol w:w="706"/>
        <w:gridCol w:w="706"/>
        <w:gridCol w:w="706"/>
        <w:gridCol w:w="636"/>
        <w:gridCol w:w="597"/>
        <w:gridCol w:w="706"/>
        <w:gridCol w:w="706"/>
        <w:gridCol w:w="706"/>
        <w:gridCol w:w="706"/>
      </w:tblGrid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год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янв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фев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мар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апр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май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июн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июл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авг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сен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окт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ноя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дек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282828"/>
                <w:sz w:val="14"/>
                <w:szCs w:val="28"/>
              </w:rPr>
              <w:t>за год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1954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11.2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6.5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1955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-15.1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-30.0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-21.8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2.3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11.7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15.3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10.3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4.8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-30.6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-6.2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1956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-21.3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-11.3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9.0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18.1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12.7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3.3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1957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-25.3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11.1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16.3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14.6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7.6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1958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-19.9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-24.1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7.9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9.5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1.7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-31.6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1959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16.1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12.5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7.0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1960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-29.4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-28.9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-25.6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9.8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12.9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9.1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5.8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1961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-22.5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-6.2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8.0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16.3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11.8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5.4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1962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-17.7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-14.4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10.1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17.7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10.9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8.1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-3.6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1963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-22.8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-24.4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10.5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15.7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12.7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4.4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-28.9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-6.7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1964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-29.0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-21.6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7.7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17.5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11.2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6.8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-7.6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1965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-24.3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-23.7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-13.5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8.8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17.7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12.2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4.1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1966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-22.6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-33.9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-21.5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6.4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16.0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11.6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6.2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-8.0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1967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-24.2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-8.3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10.2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17.2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12.1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5.0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1968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-26.4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-7.7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5.2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13.4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11.0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3.0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-27.4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-32.7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1969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-32.7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-29.3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-19.0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7.9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17.0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8.8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4.4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-7.8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1970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-28.5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-13.6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5.3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14.0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8.3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7.4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-7.5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1971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-23.9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-29.6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-18.2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7.5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13.6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12.2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6.3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-6.6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1972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-29.2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-18.1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9.1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11.9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11.3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2.6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-7.5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1973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-29.6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-14.4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9.8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13.6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13.9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3.4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-5.2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1974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-26.0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-28.3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-15.1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5.6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17.3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11.8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6.2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-7.2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1975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-20.4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-14.6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7.8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15.6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11.0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7.9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-5.5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1976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-21.7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-14.4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10.0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16.8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14.3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6.0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-5.1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1977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-27.5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-31.5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-18.8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13.9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15.5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11.5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6.6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-5.7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1978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-22.4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-23.6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-14.1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6.4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16.0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9.3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5.0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-26.8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-6.8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1979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-29.1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-30.0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-21.9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7.5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16.0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12.4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8.7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-7.5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1980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-27.6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-16.5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9.5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12.0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9.7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6.2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-5.6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1981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-13.8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-19.5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11.5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13.0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16.1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6.3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-3.4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1982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-25.7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-23.4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-21.6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12.3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16.9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10.9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4.9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-5.0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1983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-17.0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-13.6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12.6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16.0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12.0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6.4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-4.1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1984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-15.0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-11.0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12.2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16.1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12.7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6.9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-5.2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1985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-27.8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-30.1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-12.8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10.1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13.4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11.8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7.9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-23.8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-6.8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1986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-21.3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-11.9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8.0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15.4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10.9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3.0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-27.7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-5.5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1987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-26.5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-14.5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5.8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17.7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12.1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6.1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-5.9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1988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-19.4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-10.1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9.2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15.9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12.7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6.7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-4.7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1989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-26.6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-8.4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11.6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17.8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13.0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4.8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-4.7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1990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-30.3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-12.7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12.0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20.2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12.2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4.8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-5.3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1991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-20.9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-20.2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13.9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16.8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10.6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9.5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-4.1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1992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-25.5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-13.2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2.0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6.3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15.2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13.3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3.7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-6.7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1993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-16.9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-10.1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12.8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18.1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12.1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5.8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-4.0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1994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-24.2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-8.7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13.5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16.5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13.0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5.5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-5.8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1995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-13.6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-11.7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7.2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16.6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14.3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6.2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-2.4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1996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-22.1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-9.9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9.3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17.4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8.9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2.2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-4.3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1997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-28.2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-10.0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8.7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10.1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10.3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8.3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-28.4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-5.7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lastRenderedPageBreak/>
              <w:t>1998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-21.7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-29.5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-11.2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8.6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17.9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13.6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2.0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-30.2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-8.0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1999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-28.1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-22.3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7.4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15.1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11.3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4.8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-6.2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2000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-28.8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-11.1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13.3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14.4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14.9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5.0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-27.8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-5.2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2001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-31.4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-27.4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-18.3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12.9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12.7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15.4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6.1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-6.2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2002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-24.7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-13.9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12.2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15.4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10.9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3.0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-26.8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-5.5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2003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-25.1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-23.8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-15.7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14.4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14.5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16.5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6.4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-4.3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2004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-18.4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-16.9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13.6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16.8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9.8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4.4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-5.3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2005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-16.8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-15.2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11.4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17.2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12.1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8.5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-2.6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2006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-33.4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-13.3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13.7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16.2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10.4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6.1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-6.8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2007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-11.5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-12.4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9.9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20.5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11.7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6.8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-2.8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2008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-16.0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-14.2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8.4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16.1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12.1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6.5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-3.5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2009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-22.1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-13.6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9.6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15.2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14.0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8.8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-32.0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-6.4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2010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-26.1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-13.6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9.4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12.8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11.2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3.7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-6.6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2011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-20.2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-23.5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-8.4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15.2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11.7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10.1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9.1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-12.6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-2.4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2012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-19.6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-13.0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18.7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18.2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11.6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8.1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-2.3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2013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-28.6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-21.7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10.1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18.7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12.6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4.1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-4.8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2014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-30.0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-28.5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-9.1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12.2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13.3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12.3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3.5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-5.8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2015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-24.3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-9.8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14.7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14.5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11.0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5.3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-5.9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-14.2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-3.5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2016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-20.0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-9.4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-10.5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17.0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20.0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14.8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9.8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-20.4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-26.8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-2.1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2017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-25.4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-3.8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-2.2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12.5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16.6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12.0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3.9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-10.8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-3.1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2018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-18.5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-21.9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-19.4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-3.1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12.7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16.8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11.8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8.5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-0.4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-16.7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-4.5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2019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-22.0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-23.4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-7.1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-7.0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9.9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19.8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13.4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6.3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-16.5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-15.3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-3.5</w:t>
            </w:r>
          </w:p>
        </w:tc>
      </w:tr>
      <w:tr w:rsidR="00DF7754" w:rsidRPr="00B06759" w:rsidTr="002938A6">
        <w:trPr>
          <w:trHeight w:val="180"/>
        </w:trPr>
        <w:tc>
          <w:tcPr>
            <w:tcW w:w="670" w:type="dxa"/>
            <w:shd w:val="clear" w:color="auto" w:fill="FFFFFF"/>
            <w:vAlign w:val="center"/>
            <w:hideMark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b/>
                <w:color w:val="000000" w:themeColor="text1"/>
                <w:sz w:val="14"/>
                <w:szCs w:val="28"/>
              </w:rPr>
              <w:t>2020</w:t>
            </w:r>
          </w:p>
        </w:tc>
        <w:tc>
          <w:tcPr>
            <w:tcW w:w="705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-17.5</w:t>
            </w:r>
          </w:p>
        </w:tc>
        <w:tc>
          <w:tcPr>
            <w:tcW w:w="706" w:type="dxa"/>
            <w:shd w:val="clear" w:color="auto" w:fill="00B0F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-11.6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-6.7</w:t>
            </w:r>
          </w:p>
        </w:tc>
        <w:tc>
          <w:tcPr>
            <w:tcW w:w="706" w:type="dxa"/>
            <w:shd w:val="clear" w:color="auto" w:fill="92D05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0.9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8.5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10.9</w:t>
            </w:r>
          </w:p>
        </w:tc>
        <w:tc>
          <w:tcPr>
            <w:tcW w:w="706" w:type="dxa"/>
            <w:shd w:val="clear" w:color="auto" w:fill="FFFF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16.0</w:t>
            </w:r>
          </w:p>
        </w:tc>
        <w:tc>
          <w:tcPr>
            <w:tcW w:w="63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15.6</w:t>
            </w:r>
          </w:p>
        </w:tc>
        <w:tc>
          <w:tcPr>
            <w:tcW w:w="597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9.5</w:t>
            </w:r>
          </w:p>
        </w:tc>
        <w:tc>
          <w:tcPr>
            <w:tcW w:w="706" w:type="dxa"/>
            <w:shd w:val="clear" w:color="auto" w:fill="FFC000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-2.4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-8.6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  <w:tc>
          <w:tcPr>
            <w:tcW w:w="706" w:type="dxa"/>
            <w:vAlign w:val="center"/>
          </w:tcPr>
          <w:p w:rsidR="00DF7754" w:rsidRPr="00B06759" w:rsidRDefault="00DF7754" w:rsidP="002938A6">
            <w:pPr>
              <w:spacing w:after="0" w:line="360" w:lineRule="auto"/>
              <w:jc w:val="both"/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</w:pPr>
            <w:r w:rsidRPr="00B06759">
              <w:rPr>
                <w:rFonts w:ascii="PT Astra Serif" w:eastAsia="Times New Roman" w:hAnsi="PT Astra Serif" w:cs="Arial"/>
                <w:color w:val="282828"/>
                <w:sz w:val="14"/>
                <w:szCs w:val="28"/>
              </w:rPr>
              <w:t>999.9</w:t>
            </w:r>
          </w:p>
        </w:tc>
      </w:tr>
    </w:tbl>
    <w:p w:rsidR="00DF7754" w:rsidRPr="00B06759" w:rsidRDefault="00DF7754" w:rsidP="00DF7754">
      <w:pPr>
        <w:shd w:val="clear" w:color="auto" w:fill="DAF1F7"/>
        <w:spacing w:after="0" w:line="360" w:lineRule="auto"/>
        <w:jc w:val="both"/>
        <w:rPr>
          <w:rFonts w:ascii="PT Astra Serif" w:eastAsia="Times New Roman" w:hAnsi="PT Astra Serif" w:cs="Arial"/>
          <w:color w:val="FFFFFF"/>
          <w:sz w:val="14"/>
          <w:szCs w:val="28"/>
        </w:rPr>
      </w:pPr>
    </w:p>
    <w:p w:rsidR="00DF7754" w:rsidRPr="00B06759" w:rsidRDefault="00DF7754" w:rsidP="00DF7754">
      <w:pPr>
        <w:shd w:val="clear" w:color="auto" w:fill="DAF1F7"/>
        <w:spacing w:after="0" w:line="360" w:lineRule="auto"/>
        <w:jc w:val="both"/>
        <w:rPr>
          <w:rFonts w:ascii="PT Astra Serif" w:eastAsia="Times New Roman" w:hAnsi="PT Astra Serif" w:cs="Arial"/>
          <w:vanish/>
          <w:color w:val="FFFFFF"/>
          <w:sz w:val="14"/>
          <w:szCs w:val="28"/>
        </w:rPr>
      </w:pPr>
    </w:p>
    <w:p w:rsidR="00DF7754" w:rsidRPr="00B06759" w:rsidRDefault="00DF7754" w:rsidP="00DF7754">
      <w:pPr>
        <w:spacing w:line="360" w:lineRule="auto"/>
        <w:jc w:val="both"/>
        <w:rPr>
          <w:rFonts w:ascii="PT Astra Serif" w:hAnsi="PT Astra Serif" w:cs="Times New Roman"/>
          <w:b/>
          <w:sz w:val="14"/>
          <w:szCs w:val="28"/>
        </w:rPr>
      </w:pPr>
    </w:p>
    <w:p w:rsidR="00DF7754" w:rsidRPr="008C1925" w:rsidRDefault="00DF7754" w:rsidP="00DF7754">
      <w:pPr>
        <w:spacing w:line="360" w:lineRule="auto"/>
        <w:jc w:val="right"/>
        <w:rPr>
          <w:rFonts w:ascii="PT Astra Serif" w:hAnsi="PT Astra Serif" w:cs="Times New Roman"/>
          <w:b/>
          <w:sz w:val="28"/>
          <w:szCs w:val="28"/>
        </w:rPr>
      </w:pPr>
      <w:r>
        <w:rPr>
          <w:rFonts w:ascii="PT Astra Serif" w:hAnsi="PT Astra Serif" w:cs="Times New Roman"/>
          <w:b/>
          <w:sz w:val="28"/>
          <w:szCs w:val="28"/>
        </w:rPr>
        <w:t xml:space="preserve">Приложение </w:t>
      </w:r>
      <w:r w:rsidRPr="008C1925">
        <w:rPr>
          <w:rFonts w:ascii="PT Astra Serif" w:hAnsi="PT Astra Serif" w:cs="Times New Roman"/>
          <w:b/>
          <w:sz w:val="28"/>
          <w:szCs w:val="28"/>
        </w:rPr>
        <w:t>2</w:t>
      </w:r>
    </w:p>
    <w:p w:rsidR="00DF7754" w:rsidRPr="008C1925" w:rsidRDefault="00DF7754" w:rsidP="00DF7754">
      <w:pPr>
        <w:spacing w:line="360" w:lineRule="auto"/>
        <w:jc w:val="center"/>
        <w:rPr>
          <w:rFonts w:ascii="PT Astra Serif" w:hAnsi="PT Astra Serif" w:cs="Times New Roman"/>
          <w:b/>
          <w:sz w:val="28"/>
          <w:szCs w:val="28"/>
        </w:rPr>
      </w:pPr>
      <w:r w:rsidRPr="008C1925">
        <w:rPr>
          <w:rFonts w:ascii="PT Astra Serif" w:hAnsi="PT Astra Serif" w:cs="Times New Roman"/>
          <w:b/>
          <w:sz w:val="28"/>
          <w:szCs w:val="28"/>
        </w:rPr>
        <w:t>Динамика изменений погоды в феврале</w:t>
      </w:r>
      <w:r w:rsidR="00A93D54">
        <w:rPr>
          <w:rFonts w:ascii="PT Astra Serif" w:hAnsi="PT Astra Serif" w:cs="Times New Roman"/>
          <w:b/>
          <w:sz w:val="28"/>
          <w:szCs w:val="28"/>
        </w:rPr>
        <w:t xml:space="preserve"> (зима)</w:t>
      </w:r>
      <w:r w:rsidR="00D256C0" w:rsidRPr="00D256C0">
        <w:rPr>
          <w:rFonts w:ascii="PT Astra Serif" w:hAnsi="PT Astra Serif" w:cs="Times New Roman"/>
          <w:b/>
          <w:sz w:val="28"/>
          <w:szCs w:val="28"/>
        </w:rPr>
        <w:t xml:space="preserve"> </w:t>
      </w:r>
      <w:r w:rsidR="00D256C0">
        <w:rPr>
          <w:rFonts w:ascii="PT Astra Serif" w:hAnsi="PT Astra Serif" w:cs="Times New Roman"/>
          <w:b/>
          <w:sz w:val="28"/>
          <w:szCs w:val="28"/>
        </w:rPr>
        <w:t>г. Надым</w:t>
      </w:r>
    </w:p>
    <w:p w:rsidR="00DF7754" w:rsidRPr="008C1925" w:rsidRDefault="00DF7754" w:rsidP="00DF7754">
      <w:pPr>
        <w:spacing w:line="360" w:lineRule="auto"/>
        <w:jc w:val="both"/>
        <w:rPr>
          <w:rFonts w:ascii="PT Astra Serif" w:hAnsi="PT Astra Serif" w:cs="Times New Roman"/>
          <w:sz w:val="28"/>
          <w:szCs w:val="28"/>
        </w:rPr>
      </w:pPr>
      <w:r w:rsidRPr="008C1925">
        <w:rPr>
          <w:rFonts w:ascii="PT Astra Serif" w:hAnsi="PT Astra Serif" w:cs="Times New Roman"/>
          <w:noProof/>
          <w:sz w:val="28"/>
          <w:szCs w:val="28"/>
        </w:rPr>
        <w:drawing>
          <wp:inline distT="0" distB="0" distL="0" distR="0">
            <wp:extent cx="6134100" cy="3400425"/>
            <wp:effectExtent l="19050" t="0" r="1905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F7754" w:rsidRPr="008C1925" w:rsidRDefault="00DF7754" w:rsidP="00DF7754">
      <w:pPr>
        <w:spacing w:line="360" w:lineRule="auto"/>
        <w:jc w:val="right"/>
        <w:rPr>
          <w:rFonts w:ascii="PT Astra Serif" w:hAnsi="PT Astra Serif" w:cs="Times New Roman"/>
          <w:b/>
          <w:sz w:val="28"/>
          <w:szCs w:val="28"/>
        </w:rPr>
      </w:pPr>
      <w:r>
        <w:rPr>
          <w:rFonts w:ascii="PT Astra Serif" w:hAnsi="PT Astra Serif" w:cs="Times New Roman"/>
          <w:b/>
          <w:sz w:val="28"/>
          <w:szCs w:val="28"/>
        </w:rPr>
        <w:lastRenderedPageBreak/>
        <w:t xml:space="preserve">Приложение </w:t>
      </w:r>
      <w:r w:rsidRPr="008C1925">
        <w:rPr>
          <w:rFonts w:ascii="PT Astra Serif" w:hAnsi="PT Astra Serif" w:cs="Times New Roman"/>
          <w:b/>
          <w:sz w:val="28"/>
          <w:szCs w:val="28"/>
        </w:rPr>
        <w:t>3</w:t>
      </w:r>
    </w:p>
    <w:p w:rsidR="00DF7754" w:rsidRPr="008C1925" w:rsidRDefault="00DF7754" w:rsidP="00DF7754">
      <w:pPr>
        <w:spacing w:line="360" w:lineRule="auto"/>
        <w:jc w:val="center"/>
        <w:rPr>
          <w:rFonts w:ascii="PT Astra Serif" w:hAnsi="PT Astra Serif" w:cs="Times New Roman"/>
          <w:b/>
          <w:sz w:val="28"/>
          <w:szCs w:val="28"/>
        </w:rPr>
      </w:pPr>
      <w:r w:rsidRPr="008C1925">
        <w:rPr>
          <w:rFonts w:ascii="PT Astra Serif" w:hAnsi="PT Astra Serif" w:cs="Times New Roman"/>
          <w:b/>
          <w:sz w:val="28"/>
          <w:szCs w:val="28"/>
        </w:rPr>
        <w:t>Динамика изменений погоды в апреле</w:t>
      </w:r>
      <w:r w:rsidR="00A93D54">
        <w:rPr>
          <w:rFonts w:ascii="PT Astra Serif" w:hAnsi="PT Astra Serif" w:cs="Times New Roman"/>
          <w:b/>
          <w:sz w:val="28"/>
          <w:szCs w:val="28"/>
        </w:rPr>
        <w:t xml:space="preserve"> (весна)</w:t>
      </w:r>
      <w:r w:rsidR="00D256C0">
        <w:rPr>
          <w:rFonts w:ascii="PT Astra Serif" w:hAnsi="PT Astra Serif" w:cs="Times New Roman"/>
          <w:b/>
          <w:sz w:val="28"/>
          <w:szCs w:val="28"/>
        </w:rPr>
        <w:t xml:space="preserve"> г. Надым</w:t>
      </w:r>
    </w:p>
    <w:p w:rsidR="00DF7754" w:rsidRPr="008C1925" w:rsidRDefault="00DF7754" w:rsidP="00DF7754">
      <w:pPr>
        <w:spacing w:line="360" w:lineRule="auto"/>
        <w:jc w:val="both"/>
        <w:rPr>
          <w:rFonts w:ascii="PT Astra Serif" w:hAnsi="PT Astra Serif" w:cs="Times New Roman"/>
          <w:b/>
          <w:sz w:val="28"/>
          <w:szCs w:val="28"/>
        </w:rPr>
      </w:pPr>
      <w:r w:rsidRPr="008C1925">
        <w:rPr>
          <w:rFonts w:ascii="PT Astra Serif" w:hAnsi="PT Astra Serif" w:cs="Times New Roman"/>
          <w:b/>
          <w:noProof/>
          <w:sz w:val="28"/>
          <w:szCs w:val="28"/>
        </w:rPr>
        <w:drawing>
          <wp:inline distT="0" distB="0" distL="0" distR="0">
            <wp:extent cx="5829300" cy="3314700"/>
            <wp:effectExtent l="19050" t="0" r="19050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F7754" w:rsidRPr="008C1925" w:rsidRDefault="00DF7754" w:rsidP="00DF7754">
      <w:pPr>
        <w:spacing w:line="360" w:lineRule="auto"/>
        <w:jc w:val="right"/>
        <w:rPr>
          <w:rFonts w:ascii="PT Astra Serif" w:hAnsi="PT Astra Serif" w:cs="Times New Roman"/>
          <w:b/>
          <w:sz w:val="28"/>
          <w:szCs w:val="28"/>
        </w:rPr>
      </w:pPr>
      <w:r>
        <w:rPr>
          <w:rFonts w:ascii="PT Astra Serif" w:hAnsi="PT Astra Serif" w:cs="Times New Roman"/>
          <w:b/>
          <w:sz w:val="28"/>
          <w:szCs w:val="28"/>
        </w:rPr>
        <w:t xml:space="preserve">Приложение </w:t>
      </w:r>
      <w:r w:rsidRPr="008C1925">
        <w:rPr>
          <w:rFonts w:ascii="PT Astra Serif" w:hAnsi="PT Astra Serif" w:cs="Times New Roman"/>
          <w:b/>
          <w:sz w:val="28"/>
          <w:szCs w:val="28"/>
        </w:rPr>
        <w:t xml:space="preserve">4 </w:t>
      </w:r>
    </w:p>
    <w:p w:rsidR="00DF7754" w:rsidRPr="008C1925" w:rsidRDefault="00DF7754" w:rsidP="00DF7754">
      <w:pPr>
        <w:spacing w:line="360" w:lineRule="auto"/>
        <w:jc w:val="center"/>
        <w:rPr>
          <w:rFonts w:ascii="PT Astra Serif" w:hAnsi="PT Astra Serif" w:cs="Times New Roman"/>
          <w:b/>
          <w:sz w:val="28"/>
          <w:szCs w:val="28"/>
        </w:rPr>
      </w:pPr>
      <w:r w:rsidRPr="008C1925">
        <w:rPr>
          <w:rFonts w:ascii="PT Astra Serif" w:hAnsi="PT Astra Serif" w:cs="Times New Roman"/>
          <w:b/>
          <w:sz w:val="28"/>
          <w:szCs w:val="28"/>
        </w:rPr>
        <w:t>Динамика изменений погоды в июле</w:t>
      </w:r>
      <w:r w:rsidR="00A93D54">
        <w:rPr>
          <w:rFonts w:ascii="PT Astra Serif" w:hAnsi="PT Astra Serif" w:cs="Times New Roman"/>
          <w:b/>
          <w:sz w:val="28"/>
          <w:szCs w:val="28"/>
        </w:rPr>
        <w:t xml:space="preserve"> (лето)</w:t>
      </w:r>
      <w:r w:rsidR="00D256C0" w:rsidRPr="00D256C0">
        <w:rPr>
          <w:rFonts w:ascii="PT Astra Serif" w:hAnsi="PT Astra Serif" w:cs="Times New Roman"/>
          <w:b/>
          <w:sz w:val="28"/>
          <w:szCs w:val="28"/>
        </w:rPr>
        <w:t xml:space="preserve"> </w:t>
      </w:r>
      <w:r w:rsidR="00D256C0">
        <w:rPr>
          <w:rFonts w:ascii="PT Astra Serif" w:hAnsi="PT Astra Serif" w:cs="Times New Roman"/>
          <w:b/>
          <w:sz w:val="28"/>
          <w:szCs w:val="28"/>
        </w:rPr>
        <w:t>г. Надым</w:t>
      </w:r>
    </w:p>
    <w:p w:rsidR="00DF7754" w:rsidRPr="008C1925" w:rsidRDefault="00DF7754" w:rsidP="00DF7754">
      <w:pPr>
        <w:spacing w:line="360" w:lineRule="auto"/>
        <w:jc w:val="both"/>
        <w:rPr>
          <w:rFonts w:ascii="PT Astra Serif" w:hAnsi="PT Astra Serif" w:cs="Times New Roman"/>
          <w:b/>
          <w:sz w:val="28"/>
          <w:szCs w:val="28"/>
        </w:rPr>
      </w:pPr>
      <w:r w:rsidRPr="008C1925">
        <w:rPr>
          <w:rFonts w:ascii="PT Astra Serif" w:hAnsi="PT Astra Serif" w:cs="Times New Roman"/>
          <w:b/>
          <w:noProof/>
          <w:sz w:val="28"/>
          <w:szCs w:val="28"/>
        </w:rPr>
        <w:drawing>
          <wp:inline distT="0" distB="0" distL="0" distR="0">
            <wp:extent cx="5486400" cy="3200400"/>
            <wp:effectExtent l="19050" t="0" r="1905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DF7754" w:rsidRDefault="00DF7754" w:rsidP="00DF7754">
      <w:pPr>
        <w:spacing w:line="360" w:lineRule="auto"/>
        <w:jc w:val="right"/>
        <w:rPr>
          <w:rFonts w:ascii="PT Astra Serif" w:hAnsi="PT Astra Serif" w:cs="Times New Roman"/>
          <w:b/>
          <w:sz w:val="28"/>
          <w:szCs w:val="28"/>
        </w:rPr>
      </w:pPr>
    </w:p>
    <w:p w:rsidR="00DF7754" w:rsidRPr="008C1925" w:rsidRDefault="00DF7754" w:rsidP="00DF7754">
      <w:pPr>
        <w:spacing w:line="360" w:lineRule="auto"/>
        <w:jc w:val="right"/>
        <w:rPr>
          <w:rFonts w:ascii="PT Astra Serif" w:hAnsi="PT Astra Serif" w:cs="Times New Roman"/>
          <w:b/>
          <w:sz w:val="28"/>
          <w:szCs w:val="28"/>
        </w:rPr>
      </w:pPr>
      <w:r w:rsidRPr="008C1925">
        <w:rPr>
          <w:rFonts w:ascii="PT Astra Serif" w:hAnsi="PT Astra Serif" w:cs="Times New Roman"/>
          <w:b/>
          <w:sz w:val="28"/>
          <w:szCs w:val="28"/>
        </w:rPr>
        <w:lastRenderedPageBreak/>
        <w:t>Приложе</w:t>
      </w:r>
      <w:r>
        <w:rPr>
          <w:rFonts w:ascii="PT Astra Serif" w:hAnsi="PT Astra Serif" w:cs="Times New Roman"/>
          <w:b/>
          <w:sz w:val="28"/>
          <w:szCs w:val="28"/>
        </w:rPr>
        <w:t xml:space="preserve">ние </w:t>
      </w:r>
      <w:r w:rsidRPr="008C1925">
        <w:rPr>
          <w:rFonts w:ascii="PT Astra Serif" w:hAnsi="PT Astra Serif" w:cs="Times New Roman"/>
          <w:b/>
          <w:sz w:val="28"/>
          <w:szCs w:val="28"/>
        </w:rPr>
        <w:t>5</w:t>
      </w:r>
    </w:p>
    <w:p w:rsidR="00DF7754" w:rsidRPr="008C1925" w:rsidRDefault="00DF7754" w:rsidP="00DF7754">
      <w:pPr>
        <w:spacing w:line="360" w:lineRule="auto"/>
        <w:jc w:val="center"/>
        <w:rPr>
          <w:rFonts w:ascii="PT Astra Serif" w:hAnsi="PT Astra Serif" w:cs="Times New Roman"/>
          <w:b/>
          <w:sz w:val="28"/>
          <w:szCs w:val="28"/>
        </w:rPr>
      </w:pPr>
      <w:r w:rsidRPr="008C1925">
        <w:rPr>
          <w:rFonts w:ascii="PT Astra Serif" w:hAnsi="PT Astra Serif" w:cs="Times New Roman"/>
          <w:b/>
          <w:sz w:val="28"/>
          <w:szCs w:val="28"/>
        </w:rPr>
        <w:t>Динамика изменений погоды в октябре</w:t>
      </w:r>
      <w:r w:rsidR="00A93D54">
        <w:rPr>
          <w:rFonts w:ascii="PT Astra Serif" w:hAnsi="PT Astra Serif" w:cs="Times New Roman"/>
          <w:b/>
          <w:sz w:val="28"/>
          <w:szCs w:val="28"/>
        </w:rPr>
        <w:t xml:space="preserve"> (осень)</w:t>
      </w:r>
      <w:r w:rsidR="00D256C0" w:rsidRPr="00D256C0">
        <w:rPr>
          <w:rFonts w:ascii="PT Astra Serif" w:hAnsi="PT Astra Serif" w:cs="Times New Roman"/>
          <w:b/>
          <w:sz w:val="28"/>
          <w:szCs w:val="28"/>
        </w:rPr>
        <w:t xml:space="preserve"> </w:t>
      </w:r>
      <w:r w:rsidR="00D256C0">
        <w:rPr>
          <w:rFonts w:ascii="PT Astra Serif" w:hAnsi="PT Astra Serif" w:cs="Times New Roman"/>
          <w:b/>
          <w:sz w:val="28"/>
          <w:szCs w:val="28"/>
        </w:rPr>
        <w:t>г. Надым</w:t>
      </w:r>
    </w:p>
    <w:p w:rsidR="00DF7754" w:rsidRPr="008C1925" w:rsidRDefault="00DF7754" w:rsidP="00DF7754">
      <w:pPr>
        <w:spacing w:line="360" w:lineRule="auto"/>
        <w:jc w:val="both"/>
        <w:rPr>
          <w:rFonts w:ascii="PT Astra Serif" w:hAnsi="PT Astra Serif" w:cs="Times New Roman"/>
          <w:b/>
          <w:sz w:val="28"/>
          <w:szCs w:val="28"/>
        </w:rPr>
      </w:pPr>
      <w:r w:rsidRPr="008C1925">
        <w:rPr>
          <w:rFonts w:ascii="PT Astra Serif" w:hAnsi="PT Astra Serif" w:cs="Times New Roman"/>
          <w:b/>
          <w:noProof/>
          <w:sz w:val="28"/>
          <w:szCs w:val="28"/>
        </w:rPr>
        <w:drawing>
          <wp:inline distT="0" distB="0" distL="0" distR="0">
            <wp:extent cx="5486400" cy="3200400"/>
            <wp:effectExtent l="19050" t="0" r="19050" b="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DF7754" w:rsidRPr="008C1925" w:rsidRDefault="00DF7754" w:rsidP="00DF7754">
      <w:pPr>
        <w:spacing w:line="360" w:lineRule="auto"/>
        <w:jc w:val="both"/>
        <w:rPr>
          <w:rFonts w:ascii="PT Astra Serif" w:hAnsi="PT Astra Serif" w:cs="Times New Roman"/>
          <w:b/>
          <w:sz w:val="28"/>
          <w:szCs w:val="28"/>
        </w:rPr>
      </w:pPr>
    </w:p>
    <w:p w:rsidR="00DF7754" w:rsidRPr="008C1925" w:rsidRDefault="00DF7754" w:rsidP="00DF7754">
      <w:pPr>
        <w:spacing w:line="360" w:lineRule="auto"/>
        <w:jc w:val="both"/>
        <w:rPr>
          <w:rFonts w:ascii="PT Astra Serif" w:hAnsi="PT Astra Serif" w:cs="Times New Roman"/>
          <w:b/>
          <w:sz w:val="28"/>
          <w:szCs w:val="28"/>
        </w:rPr>
        <w:sectPr w:rsidR="00DF7754" w:rsidRPr="008C1925" w:rsidSect="002938A6">
          <w:headerReference w:type="default" r:id="rId11"/>
          <w:footerReference w:type="default" r:id="rId12"/>
          <w:pgSz w:w="11906" w:h="16838"/>
          <w:pgMar w:top="1134" w:right="567" w:bottom="1134" w:left="1701" w:header="709" w:footer="709" w:gutter="0"/>
          <w:pgNumType w:start="1"/>
          <w:cols w:space="708"/>
          <w:docGrid w:linePitch="360"/>
        </w:sectPr>
      </w:pPr>
    </w:p>
    <w:p w:rsidR="00DF7754" w:rsidRPr="008C1925" w:rsidRDefault="00DF7754" w:rsidP="00DF7754">
      <w:pPr>
        <w:spacing w:line="360" w:lineRule="auto"/>
        <w:jc w:val="right"/>
        <w:rPr>
          <w:rFonts w:ascii="PT Astra Serif" w:hAnsi="PT Astra Serif" w:cs="Times New Roman"/>
          <w:b/>
          <w:sz w:val="28"/>
          <w:szCs w:val="28"/>
        </w:rPr>
      </w:pPr>
      <w:r w:rsidRPr="008C1925">
        <w:rPr>
          <w:rFonts w:ascii="PT Astra Serif" w:hAnsi="PT Astra Serif" w:cs="Times New Roman"/>
          <w:b/>
          <w:sz w:val="28"/>
          <w:szCs w:val="28"/>
        </w:rPr>
        <w:lastRenderedPageBreak/>
        <w:t>Приложение 6</w:t>
      </w:r>
    </w:p>
    <w:p w:rsidR="007C63D7" w:rsidRDefault="00DF7754" w:rsidP="005D4DAF">
      <w:pPr>
        <w:spacing w:line="360" w:lineRule="auto"/>
        <w:jc w:val="center"/>
        <w:rPr>
          <w:rFonts w:ascii="PT Astra Serif" w:hAnsi="PT Astra Serif" w:cs="Times New Roman"/>
          <w:b/>
          <w:noProof/>
          <w:sz w:val="28"/>
          <w:szCs w:val="28"/>
        </w:rPr>
      </w:pPr>
      <w:r w:rsidRPr="008C1925">
        <w:rPr>
          <w:rFonts w:ascii="PT Astra Serif" w:hAnsi="PT Astra Serif" w:cs="Times New Roman"/>
          <w:b/>
          <w:sz w:val="28"/>
          <w:szCs w:val="28"/>
        </w:rPr>
        <w:t>Среднегодовая температура воздуха в г. Надыме с 1960 по 2019 гг.</w:t>
      </w:r>
      <w:r w:rsidR="00D256C0" w:rsidRPr="00D256C0">
        <w:rPr>
          <w:rFonts w:ascii="PT Astra Serif" w:hAnsi="PT Astra Serif" w:cs="Times New Roman"/>
          <w:b/>
          <w:sz w:val="28"/>
          <w:szCs w:val="28"/>
        </w:rPr>
        <w:t xml:space="preserve"> </w:t>
      </w:r>
      <w:r w:rsidR="00D256C0">
        <w:rPr>
          <w:rFonts w:ascii="PT Astra Serif" w:hAnsi="PT Astra Serif" w:cs="Times New Roman"/>
          <w:b/>
          <w:sz w:val="28"/>
          <w:szCs w:val="28"/>
        </w:rPr>
        <w:t>г. Надым</w:t>
      </w:r>
      <w:r w:rsidR="00D256C0" w:rsidRPr="008C1925">
        <w:rPr>
          <w:rFonts w:ascii="PT Astra Serif" w:hAnsi="PT Astra Serif" w:cs="Times New Roman"/>
          <w:b/>
          <w:noProof/>
          <w:sz w:val="28"/>
          <w:szCs w:val="28"/>
        </w:rPr>
        <w:t xml:space="preserve"> </w:t>
      </w:r>
      <w:r w:rsidRPr="008C1925">
        <w:rPr>
          <w:rFonts w:ascii="PT Astra Serif" w:hAnsi="PT Astra Serif" w:cs="Times New Roman"/>
          <w:b/>
          <w:noProof/>
          <w:sz w:val="28"/>
          <w:szCs w:val="28"/>
        </w:rPr>
        <w:drawing>
          <wp:inline distT="0" distB="0" distL="0" distR="0">
            <wp:extent cx="8486775" cy="4476750"/>
            <wp:effectExtent l="19050" t="0" r="9525" b="0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D54DFB" w:rsidRDefault="00D54DFB"/>
    <w:p w:rsidR="005D4DAF" w:rsidRDefault="005D4DAF"/>
    <w:p w:rsidR="005D4DAF" w:rsidRDefault="00C047A2" w:rsidP="005D4DAF">
      <w:pPr>
        <w:spacing w:line="360" w:lineRule="auto"/>
        <w:jc w:val="right"/>
        <w:rPr>
          <w:rFonts w:ascii="PT Astra Serif" w:hAnsi="PT Astra Serif" w:cs="Times New Roman"/>
          <w:b/>
          <w:sz w:val="28"/>
          <w:szCs w:val="28"/>
        </w:rPr>
      </w:pPr>
      <w:r>
        <w:rPr>
          <w:rFonts w:ascii="PT Astra Serif" w:hAnsi="PT Astra Serif" w:cs="Times New Roman"/>
          <w:b/>
          <w:sz w:val="28"/>
          <w:szCs w:val="28"/>
        </w:rPr>
        <w:lastRenderedPageBreak/>
        <w:t xml:space="preserve">                                                                                                                            </w:t>
      </w:r>
      <w:r w:rsidR="005D4DAF" w:rsidRPr="008C1925">
        <w:rPr>
          <w:rFonts w:ascii="PT Astra Serif" w:hAnsi="PT Astra Serif" w:cs="Times New Roman"/>
          <w:b/>
          <w:sz w:val="28"/>
          <w:szCs w:val="28"/>
        </w:rPr>
        <w:t xml:space="preserve">Приложение </w:t>
      </w:r>
      <w:r w:rsidR="005D4DAF">
        <w:rPr>
          <w:rFonts w:ascii="PT Astra Serif" w:hAnsi="PT Astra Serif" w:cs="Times New Roman"/>
          <w:b/>
          <w:sz w:val="28"/>
          <w:szCs w:val="28"/>
        </w:rPr>
        <w:t>7</w:t>
      </w:r>
    </w:p>
    <w:p w:rsidR="00C102B2" w:rsidRDefault="00C102B2" w:rsidP="00C102B2">
      <w:pPr>
        <w:spacing w:after="0" w:line="360" w:lineRule="auto"/>
        <w:jc w:val="center"/>
        <w:rPr>
          <w:rFonts w:ascii="PT Astra Serif" w:hAnsi="PT Astra Serif" w:cs="Times New Roman"/>
          <w:b/>
          <w:sz w:val="28"/>
          <w:szCs w:val="28"/>
        </w:rPr>
      </w:pPr>
      <w:r w:rsidRPr="008C1925">
        <w:rPr>
          <w:rFonts w:ascii="PT Astra Serif" w:hAnsi="PT Astra Serif" w:cs="Times New Roman"/>
          <w:b/>
          <w:sz w:val="28"/>
          <w:szCs w:val="28"/>
        </w:rPr>
        <w:t>Среднегодовая температура воздуха с 1960 по 2019 гг.</w:t>
      </w:r>
      <w:r w:rsidRPr="00D256C0">
        <w:rPr>
          <w:rFonts w:ascii="PT Astra Serif" w:hAnsi="PT Astra Serif" w:cs="Times New Roman"/>
          <w:b/>
          <w:sz w:val="28"/>
          <w:szCs w:val="28"/>
        </w:rPr>
        <w:t xml:space="preserve"> </w:t>
      </w:r>
    </w:p>
    <w:p w:rsidR="00C102B2" w:rsidRDefault="00C102B2" w:rsidP="00C102B2">
      <w:pPr>
        <w:spacing w:after="0" w:line="360" w:lineRule="auto"/>
        <w:jc w:val="center"/>
        <w:rPr>
          <w:rFonts w:ascii="PT Astra Serif" w:hAnsi="PT Astra Serif" w:cs="Times New Roman"/>
          <w:b/>
          <w:sz w:val="28"/>
          <w:szCs w:val="28"/>
        </w:rPr>
      </w:pPr>
      <w:r>
        <w:rPr>
          <w:rFonts w:ascii="PT Astra Serif" w:hAnsi="PT Astra Serif" w:cs="Times New Roman"/>
          <w:b/>
          <w:sz w:val="28"/>
          <w:szCs w:val="28"/>
        </w:rPr>
        <w:t>в г. Калининград,  Москва, Краснодар Иркутск, Анадырь</w:t>
      </w:r>
    </w:p>
    <w:p w:rsidR="005D4DAF" w:rsidRDefault="005D4DAF" w:rsidP="005D4DAF">
      <w:pPr>
        <w:spacing w:after="0"/>
      </w:pPr>
    </w:p>
    <w:p w:rsidR="00D256C0" w:rsidRDefault="005D4DAF" w:rsidP="005D4DAF">
      <w:pPr>
        <w:spacing w:line="360" w:lineRule="auto"/>
        <w:jc w:val="right"/>
        <w:rPr>
          <w:rFonts w:ascii="PT Astra Serif" w:hAnsi="PT Astra Serif" w:cs="Times New Roman"/>
          <w:b/>
          <w:sz w:val="28"/>
          <w:szCs w:val="28"/>
        </w:rPr>
      </w:pPr>
      <w:r w:rsidRPr="005D4DAF">
        <w:rPr>
          <w:rFonts w:ascii="PT Astra Serif" w:hAnsi="PT Astra Serif" w:cs="Times New Roman"/>
          <w:b/>
          <w:noProof/>
          <w:sz w:val="28"/>
          <w:szCs w:val="28"/>
        </w:rPr>
        <w:drawing>
          <wp:inline distT="0" distB="0" distL="0" distR="0">
            <wp:extent cx="9144108" cy="4321571"/>
            <wp:effectExtent l="19050" t="0" r="18942" b="2779"/>
            <wp:docPr id="18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D54DFB" w:rsidRPr="008C1925" w:rsidRDefault="00D54DFB" w:rsidP="00D256C0">
      <w:pPr>
        <w:spacing w:line="360" w:lineRule="auto"/>
        <w:jc w:val="right"/>
        <w:rPr>
          <w:rFonts w:ascii="PT Astra Serif" w:hAnsi="PT Astra Serif" w:cs="Times New Roman"/>
          <w:b/>
          <w:sz w:val="28"/>
          <w:szCs w:val="28"/>
        </w:rPr>
      </w:pPr>
    </w:p>
    <w:p w:rsidR="00D256C0" w:rsidRDefault="00D256C0"/>
    <w:p w:rsidR="00D54DFB" w:rsidRDefault="00D54DFB"/>
    <w:p w:rsidR="00EC5798" w:rsidRDefault="00EC5798"/>
    <w:p w:rsidR="00EC5798" w:rsidRDefault="00EC5798"/>
    <w:p w:rsidR="00EC5798" w:rsidRDefault="00EC5798"/>
    <w:p w:rsidR="00D256C0" w:rsidRDefault="00D256C0"/>
    <w:sectPr w:rsidR="00D256C0" w:rsidSect="00A93D54">
      <w:pgSz w:w="16838" w:h="11906" w:orient="landscape"/>
      <w:pgMar w:top="1134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014" w:rsidRDefault="00E42014" w:rsidP="00B3641C">
      <w:pPr>
        <w:spacing w:after="0" w:line="240" w:lineRule="auto"/>
      </w:pPr>
      <w:r>
        <w:separator/>
      </w:r>
    </w:p>
  </w:endnote>
  <w:endnote w:type="continuationSeparator" w:id="1">
    <w:p w:rsidR="00E42014" w:rsidRDefault="00E42014" w:rsidP="00B36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395366"/>
      <w:docPartObj>
        <w:docPartGallery w:val="Page Numbers (Bottom of Page)"/>
        <w:docPartUnique/>
      </w:docPartObj>
    </w:sdtPr>
    <w:sdtContent>
      <w:p w:rsidR="002938A6" w:rsidRDefault="00D12DBA">
        <w:pPr>
          <w:pStyle w:val="aa"/>
          <w:jc w:val="right"/>
        </w:pPr>
        <w:fldSimple w:instr=" PAGE   \* MERGEFORMAT ">
          <w:r w:rsidR="00DA528A">
            <w:rPr>
              <w:noProof/>
            </w:rPr>
            <w:t>1</w:t>
          </w:r>
        </w:fldSimple>
      </w:p>
    </w:sdtContent>
  </w:sdt>
  <w:p w:rsidR="002938A6" w:rsidRDefault="002938A6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014" w:rsidRDefault="00E42014" w:rsidP="00B3641C">
      <w:pPr>
        <w:spacing w:after="0" w:line="240" w:lineRule="auto"/>
      </w:pPr>
      <w:r>
        <w:separator/>
      </w:r>
    </w:p>
  </w:footnote>
  <w:footnote w:type="continuationSeparator" w:id="1">
    <w:p w:rsidR="00E42014" w:rsidRDefault="00E42014" w:rsidP="00B36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38A6" w:rsidRDefault="002938A6" w:rsidP="002938A6">
    <w:pPr>
      <w:pStyle w:val="a8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51BBB"/>
    <w:multiLevelType w:val="multilevel"/>
    <w:tmpl w:val="BEA073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9271C8F"/>
    <w:multiLevelType w:val="multilevel"/>
    <w:tmpl w:val="0CE041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C022F16"/>
    <w:multiLevelType w:val="hybridMultilevel"/>
    <w:tmpl w:val="45D0D37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35B56DE"/>
    <w:multiLevelType w:val="multilevel"/>
    <w:tmpl w:val="A43AEE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84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  <w:b/>
      </w:rPr>
    </w:lvl>
  </w:abstractNum>
  <w:abstractNum w:abstractNumId="4">
    <w:nsid w:val="3A503D78"/>
    <w:multiLevelType w:val="hybridMultilevel"/>
    <w:tmpl w:val="300CAB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8D4763"/>
    <w:multiLevelType w:val="multilevel"/>
    <w:tmpl w:val="DDB4F5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4C082484"/>
    <w:multiLevelType w:val="hybridMultilevel"/>
    <w:tmpl w:val="8974B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ED47CB"/>
    <w:multiLevelType w:val="multilevel"/>
    <w:tmpl w:val="0CE041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536A5F0F"/>
    <w:multiLevelType w:val="multilevel"/>
    <w:tmpl w:val="FC0606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5F01785E"/>
    <w:multiLevelType w:val="hybridMultilevel"/>
    <w:tmpl w:val="DD76A5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2BE54A5"/>
    <w:multiLevelType w:val="hybridMultilevel"/>
    <w:tmpl w:val="4BBE0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FC741E"/>
    <w:multiLevelType w:val="multilevel"/>
    <w:tmpl w:val="0CE041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6DF7638B"/>
    <w:multiLevelType w:val="hybridMultilevel"/>
    <w:tmpl w:val="378EBD2A"/>
    <w:lvl w:ilvl="0" w:tplc="04190001">
      <w:start w:val="1"/>
      <w:numFmt w:val="bullet"/>
      <w:lvlText w:val=""/>
      <w:lvlJc w:val="left"/>
      <w:pPr>
        <w:tabs>
          <w:tab w:val="num" w:pos="880"/>
        </w:tabs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00"/>
        </w:tabs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20"/>
        </w:tabs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40"/>
        </w:tabs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60"/>
        </w:tabs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80"/>
        </w:tabs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00"/>
        </w:tabs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20"/>
        </w:tabs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40"/>
        </w:tabs>
        <w:ind w:left="6640" w:hanging="360"/>
      </w:pPr>
      <w:rPr>
        <w:rFonts w:ascii="Wingdings" w:hAnsi="Wingdings" w:hint="default"/>
      </w:rPr>
    </w:lvl>
  </w:abstractNum>
  <w:abstractNum w:abstractNumId="13">
    <w:nsid w:val="742A3BEF"/>
    <w:multiLevelType w:val="multilevel"/>
    <w:tmpl w:val="E1D2C79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hint="default"/>
      </w:r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3"/>
  </w:num>
  <w:num w:numId="5">
    <w:abstractNumId w:val="11"/>
  </w:num>
  <w:num w:numId="6">
    <w:abstractNumId w:val="1"/>
  </w:num>
  <w:num w:numId="7">
    <w:abstractNumId w:val="7"/>
  </w:num>
  <w:num w:numId="8">
    <w:abstractNumId w:val="0"/>
  </w:num>
  <w:num w:numId="9">
    <w:abstractNumId w:val="5"/>
  </w:num>
  <w:num w:numId="10">
    <w:abstractNumId w:val="8"/>
  </w:num>
  <w:num w:numId="11">
    <w:abstractNumId w:val="6"/>
  </w:num>
  <w:num w:numId="12">
    <w:abstractNumId w:val="9"/>
  </w:num>
  <w:num w:numId="13">
    <w:abstractNumId w:val="10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F7754"/>
    <w:rsid w:val="002938A6"/>
    <w:rsid w:val="00596457"/>
    <w:rsid w:val="005D4DAF"/>
    <w:rsid w:val="005F2168"/>
    <w:rsid w:val="00624E0D"/>
    <w:rsid w:val="00657B88"/>
    <w:rsid w:val="006F60FB"/>
    <w:rsid w:val="007C63D7"/>
    <w:rsid w:val="007F0DA6"/>
    <w:rsid w:val="00A93D54"/>
    <w:rsid w:val="00B3641C"/>
    <w:rsid w:val="00C047A2"/>
    <w:rsid w:val="00C102B2"/>
    <w:rsid w:val="00C93794"/>
    <w:rsid w:val="00D12DBA"/>
    <w:rsid w:val="00D256C0"/>
    <w:rsid w:val="00D54DFB"/>
    <w:rsid w:val="00DA528A"/>
    <w:rsid w:val="00DC10B8"/>
    <w:rsid w:val="00DF7754"/>
    <w:rsid w:val="00E42014"/>
    <w:rsid w:val="00EC5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4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77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F7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7754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DF7754"/>
    <w:rPr>
      <w:color w:val="808080"/>
    </w:rPr>
  </w:style>
  <w:style w:type="paragraph" w:styleId="a7">
    <w:name w:val="Normal (Web)"/>
    <w:basedOn w:val="a"/>
    <w:uiPriority w:val="99"/>
    <w:unhideWhenUsed/>
    <w:rsid w:val="00DF77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DF77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F7754"/>
  </w:style>
  <w:style w:type="paragraph" w:styleId="aa">
    <w:name w:val="footer"/>
    <w:basedOn w:val="a"/>
    <w:link w:val="ab"/>
    <w:uiPriority w:val="99"/>
    <w:unhideWhenUsed/>
    <w:rsid w:val="00DF77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F7754"/>
  </w:style>
  <w:style w:type="character" w:styleId="ac">
    <w:name w:val="Hyperlink"/>
    <w:basedOn w:val="a0"/>
    <w:uiPriority w:val="99"/>
    <w:unhideWhenUsed/>
    <w:rsid w:val="00DF7754"/>
    <w:rPr>
      <w:color w:val="0000FF" w:themeColor="hyperlink"/>
      <w:u w:val="single"/>
    </w:rPr>
  </w:style>
  <w:style w:type="table" w:styleId="2">
    <w:name w:val="Medium List 2"/>
    <w:basedOn w:val="a1"/>
    <w:uiPriority w:val="66"/>
    <w:rsid w:val="00DF775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5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/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Февраль</c:v>
                </c:pt>
              </c:strCache>
            </c:strRef>
          </c:tx>
          <c:marker>
            <c:symbol val="none"/>
          </c:marker>
          <c:cat>
            <c:numRef>
              <c:f>Лист1!$A$2:$A$17</c:f>
              <c:numCache>
                <c:formatCode>General</c:formatCode>
                <c:ptCount val="16"/>
                <c:pt idx="0">
                  <c:v>1955</c:v>
                </c:pt>
                <c:pt idx="1">
                  <c:v>1965</c:v>
                </c:pt>
                <c:pt idx="2">
                  <c:v>1975</c:v>
                </c:pt>
                <c:pt idx="3">
                  <c:v>1985</c:v>
                </c:pt>
                <c:pt idx="4">
                  <c:v>1995</c:v>
                </c:pt>
                <c:pt idx="5">
                  <c:v>2005</c:v>
                </c:pt>
                <c:pt idx="6">
                  <c:v>2008</c:v>
                </c:pt>
                <c:pt idx="7">
                  <c:v>2011</c:v>
                </c:pt>
                <c:pt idx="8">
                  <c:v>2015</c:v>
                </c:pt>
                <c:pt idx="9">
                  <c:v>2016</c:v>
                </c:pt>
                <c:pt idx="10">
                  <c:v>2017</c:v>
                </c:pt>
                <c:pt idx="11">
                  <c:v>2018</c:v>
                </c:pt>
                <c:pt idx="12">
                  <c:v>2019</c:v>
                </c:pt>
                <c:pt idx="13">
                  <c:v>2020</c:v>
                </c:pt>
              </c:numCache>
            </c:numRef>
          </c:cat>
          <c:val>
            <c:numRef>
              <c:f>Лист1!$B$2:$B$17</c:f>
              <c:numCache>
                <c:formatCode>General</c:formatCode>
                <c:ptCount val="16"/>
                <c:pt idx="0">
                  <c:v>-30</c:v>
                </c:pt>
                <c:pt idx="1">
                  <c:v>-23.7</c:v>
                </c:pt>
                <c:pt idx="2">
                  <c:v>-21.6</c:v>
                </c:pt>
                <c:pt idx="3">
                  <c:v>-30.1</c:v>
                </c:pt>
                <c:pt idx="4">
                  <c:v>-10.1</c:v>
                </c:pt>
                <c:pt idx="5">
                  <c:v>-20</c:v>
                </c:pt>
                <c:pt idx="6">
                  <c:v>-17.399999999999999</c:v>
                </c:pt>
                <c:pt idx="7">
                  <c:v>-23.5</c:v>
                </c:pt>
                <c:pt idx="8">
                  <c:v>-19.2</c:v>
                </c:pt>
                <c:pt idx="9">
                  <c:v>-9.4</c:v>
                </c:pt>
                <c:pt idx="10">
                  <c:v>-21.1</c:v>
                </c:pt>
                <c:pt idx="11">
                  <c:v>-21.9</c:v>
                </c:pt>
                <c:pt idx="12">
                  <c:v>-23.4</c:v>
                </c:pt>
                <c:pt idx="13">
                  <c:v>-11.6</c:v>
                </c:pt>
              </c:numCache>
            </c:numRef>
          </c:val>
        </c:ser>
        <c:marker val="1"/>
        <c:axId val="73729536"/>
        <c:axId val="73731072"/>
      </c:lineChart>
      <c:catAx>
        <c:axId val="73729536"/>
        <c:scaling>
          <c:orientation val="minMax"/>
        </c:scaling>
        <c:axPos val="b"/>
        <c:numFmt formatCode="General" sourceLinked="1"/>
        <c:tickLblPos val="nextTo"/>
        <c:crossAx val="73731072"/>
        <c:crosses val="autoZero"/>
        <c:auto val="1"/>
        <c:lblAlgn val="ctr"/>
        <c:lblOffset val="100"/>
      </c:catAx>
      <c:valAx>
        <c:axId val="73731072"/>
        <c:scaling>
          <c:orientation val="minMax"/>
        </c:scaling>
        <c:axPos val="l"/>
        <c:majorGridlines/>
        <c:numFmt formatCode="General" sourceLinked="1"/>
        <c:tickLblPos val="nextTo"/>
        <c:crossAx val="7372953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/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Апрель</c:v>
                </c:pt>
              </c:strCache>
            </c:strRef>
          </c:tx>
          <c:marker>
            <c:symbol val="none"/>
          </c:marker>
          <c:cat>
            <c:numRef>
              <c:f>Лист1!$A$2:$A$15</c:f>
              <c:numCache>
                <c:formatCode>General</c:formatCode>
                <c:ptCount val="14"/>
                <c:pt idx="0">
                  <c:v>1955</c:v>
                </c:pt>
                <c:pt idx="1">
                  <c:v>1965</c:v>
                </c:pt>
                <c:pt idx="2">
                  <c:v>1975</c:v>
                </c:pt>
                <c:pt idx="3">
                  <c:v>1985</c:v>
                </c:pt>
                <c:pt idx="4">
                  <c:v>1995</c:v>
                </c:pt>
                <c:pt idx="5">
                  <c:v>2005</c:v>
                </c:pt>
                <c:pt idx="6">
                  <c:v>2008</c:v>
                </c:pt>
                <c:pt idx="7">
                  <c:v>2011</c:v>
                </c:pt>
                <c:pt idx="8">
                  <c:v>2015</c:v>
                </c:pt>
                <c:pt idx="9">
                  <c:v>2016</c:v>
                </c:pt>
                <c:pt idx="10">
                  <c:v>2017</c:v>
                </c:pt>
                <c:pt idx="11">
                  <c:v>2018</c:v>
                </c:pt>
                <c:pt idx="12">
                  <c:v>2019</c:v>
                </c:pt>
                <c:pt idx="13">
                  <c:v>2020</c:v>
                </c:pt>
              </c:numCache>
            </c:numRef>
          </c:cat>
          <c:val>
            <c:numRef>
              <c:f>Лист1!$B$2:$B$15</c:f>
              <c:numCache>
                <c:formatCode>General</c:formatCode>
                <c:ptCount val="14"/>
                <c:pt idx="0">
                  <c:v>-4.3</c:v>
                </c:pt>
                <c:pt idx="1">
                  <c:v>-9.2000000000000011</c:v>
                </c:pt>
                <c:pt idx="2">
                  <c:v>-6.6</c:v>
                </c:pt>
                <c:pt idx="3">
                  <c:v>-7.8</c:v>
                </c:pt>
                <c:pt idx="4">
                  <c:v>1.9000000000000001</c:v>
                </c:pt>
                <c:pt idx="5">
                  <c:v>-9</c:v>
                </c:pt>
                <c:pt idx="6">
                  <c:v>-9.2000000000000011</c:v>
                </c:pt>
                <c:pt idx="7">
                  <c:v>-0.4</c:v>
                </c:pt>
                <c:pt idx="8">
                  <c:v>-1.7</c:v>
                </c:pt>
                <c:pt idx="9">
                  <c:v>-0.1</c:v>
                </c:pt>
                <c:pt idx="10">
                  <c:v>-7.1</c:v>
                </c:pt>
                <c:pt idx="11">
                  <c:v>-7.6</c:v>
                </c:pt>
                <c:pt idx="12">
                  <c:v>-7</c:v>
                </c:pt>
                <c:pt idx="13">
                  <c:v>0.9</c:v>
                </c:pt>
              </c:numCache>
            </c:numRef>
          </c:val>
        </c:ser>
        <c:marker val="1"/>
        <c:axId val="123685120"/>
        <c:axId val="42192896"/>
      </c:lineChart>
      <c:catAx>
        <c:axId val="123685120"/>
        <c:scaling>
          <c:orientation val="minMax"/>
        </c:scaling>
        <c:axPos val="b"/>
        <c:numFmt formatCode="General" sourceLinked="1"/>
        <c:tickLblPos val="nextTo"/>
        <c:crossAx val="42192896"/>
        <c:crosses val="autoZero"/>
        <c:auto val="1"/>
        <c:lblAlgn val="ctr"/>
        <c:lblOffset val="100"/>
      </c:catAx>
      <c:valAx>
        <c:axId val="42192896"/>
        <c:scaling>
          <c:orientation val="minMax"/>
        </c:scaling>
        <c:axPos val="l"/>
        <c:majorGridlines/>
        <c:numFmt formatCode="General" sourceLinked="1"/>
        <c:tickLblPos val="nextTo"/>
        <c:crossAx val="12368512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/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Июль</c:v>
                </c:pt>
              </c:strCache>
            </c:strRef>
          </c:tx>
          <c:marker>
            <c:symbol val="none"/>
          </c:marker>
          <c:cat>
            <c:numRef>
              <c:f>Лист1!$A$2:$A$15</c:f>
              <c:numCache>
                <c:formatCode>General</c:formatCode>
                <c:ptCount val="14"/>
                <c:pt idx="0">
                  <c:v>1955</c:v>
                </c:pt>
                <c:pt idx="1">
                  <c:v>1965</c:v>
                </c:pt>
                <c:pt idx="2">
                  <c:v>1975</c:v>
                </c:pt>
                <c:pt idx="3">
                  <c:v>1985</c:v>
                </c:pt>
                <c:pt idx="4">
                  <c:v>1995</c:v>
                </c:pt>
                <c:pt idx="5">
                  <c:v>2005</c:v>
                </c:pt>
                <c:pt idx="6">
                  <c:v>2008</c:v>
                </c:pt>
                <c:pt idx="7">
                  <c:v>2011</c:v>
                </c:pt>
                <c:pt idx="8">
                  <c:v>2015</c:v>
                </c:pt>
                <c:pt idx="9">
                  <c:v>2016</c:v>
                </c:pt>
                <c:pt idx="10">
                  <c:v>2017</c:v>
                </c:pt>
                <c:pt idx="11">
                  <c:v>2018</c:v>
                </c:pt>
                <c:pt idx="12">
                  <c:v>2019</c:v>
                </c:pt>
                <c:pt idx="13">
                  <c:v>2020</c:v>
                </c:pt>
              </c:numCache>
            </c:numRef>
          </c:cat>
          <c:val>
            <c:numRef>
              <c:f>Лист1!$B$2:$B$15</c:f>
              <c:numCache>
                <c:formatCode>General</c:formatCode>
                <c:ptCount val="14"/>
                <c:pt idx="0">
                  <c:v>15.3</c:v>
                </c:pt>
                <c:pt idx="1">
                  <c:v>17.7</c:v>
                </c:pt>
                <c:pt idx="2">
                  <c:v>15.6</c:v>
                </c:pt>
                <c:pt idx="3">
                  <c:v>13.4</c:v>
                </c:pt>
                <c:pt idx="4">
                  <c:v>16.600000000000001</c:v>
                </c:pt>
                <c:pt idx="5">
                  <c:v>17.2</c:v>
                </c:pt>
                <c:pt idx="6">
                  <c:v>16.100000000000001</c:v>
                </c:pt>
                <c:pt idx="7">
                  <c:v>11.7</c:v>
                </c:pt>
                <c:pt idx="8">
                  <c:v>14.5</c:v>
                </c:pt>
                <c:pt idx="9">
                  <c:v>20</c:v>
                </c:pt>
                <c:pt idx="10">
                  <c:v>16.600000000000001</c:v>
                </c:pt>
                <c:pt idx="11">
                  <c:v>16.8</c:v>
                </c:pt>
                <c:pt idx="12">
                  <c:v>19.8</c:v>
                </c:pt>
              </c:numCache>
            </c:numRef>
          </c:val>
        </c:ser>
        <c:marker val="1"/>
        <c:axId val="60378496"/>
        <c:axId val="60380288"/>
      </c:lineChart>
      <c:catAx>
        <c:axId val="60378496"/>
        <c:scaling>
          <c:orientation val="minMax"/>
        </c:scaling>
        <c:axPos val="b"/>
        <c:numFmt formatCode="General" sourceLinked="1"/>
        <c:tickLblPos val="nextTo"/>
        <c:crossAx val="60380288"/>
        <c:crosses val="autoZero"/>
        <c:auto val="1"/>
        <c:lblAlgn val="ctr"/>
        <c:lblOffset val="100"/>
      </c:catAx>
      <c:valAx>
        <c:axId val="60380288"/>
        <c:scaling>
          <c:orientation val="minMax"/>
        </c:scaling>
        <c:axPos val="l"/>
        <c:majorGridlines/>
        <c:numFmt formatCode="General" sourceLinked="1"/>
        <c:tickLblPos val="nextTo"/>
        <c:crossAx val="6037849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/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Октябрь</c:v>
                </c:pt>
              </c:strCache>
            </c:strRef>
          </c:tx>
          <c:marker>
            <c:symbol val="none"/>
          </c:marker>
          <c:cat>
            <c:numRef>
              <c:f>Лист1!$A$2:$A$15</c:f>
              <c:numCache>
                <c:formatCode>General</c:formatCode>
                <c:ptCount val="14"/>
                <c:pt idx="0">
                  <c:v>1955</c:v>
                </c:pt>
                <c:pt idx="1">
                  <c:v>1965</c:v>
                </c:pt>
                <c:pt idx="2">
                  <c:v>1975</c:v>
                </c:pt>
                <c:pt idx="3">
                  <c:v>1985</c:v>
                </c:pt>
                <c:pt idx="4">
                  <c:v>1995</c:v>
                </c:pt>
                <c:pt idx="5">
                  <c:v>2005</c:v>
                </c:pt>
                <c:pt idx="6">
                  <c:v>2008</c:v>
                </c:pt>
                <c:pt idx="7">
                  <c:v>2011</c:v>
                </c:pt>
                <c:pt idx="8">
                  <c:v>2015</c:v>
                </c:pt>
                <c:pt idx="9">
                  <c:v>2016</c:v>
                </c:pt>
                <c:pt idx="10">
                  <c:v>2017</c:v>
                </c:pt>
                <c:pt idx="11">
                  <c:v>2018</c:v>
                </c:pt>
                <c:pt idx="12">
                  <c:v>2019</c:v>
                </c:pt>
                <c:pt idx="13">
                  <c:v>2020</c:v>
                </c:pt>
              </c:numCache>
            </c:numRef>
          </c:cat>
          <c:val>
            <c:numRef>
              <c:f>Лист1!$B$2:$B$15</c:f>
              <c:numCache>
                <c:formatCode>General</c:formatCode>
                <c:ptCount val="14"/>
                <c:pt idx="0">
                  <c:v>0.1</c:v>
                </c:pt>
                <c:pt idx="1">
                  <c:v>-6.4</c:v>
                </c:pt>
                <c:pt idx="2">
                  <c:v>-6.1</c:v>
                </c:pt>
                <c:pt idx="3">
                  <c:v>-2.2000000000000002</c:v>
                </c:pt>
                <c:pt idx="4">
                  <c:v>-3.9</c:v>
                </c:pt>
                <c:pt idx="5">
                  <c:v>1</c:v>
                </c:pt>
                <c:pt idx="6">
                  <c:v>-2.4</c:v>
                </c:pt>
                <c:pt idx="7">
                  <c:v>0.1</c:v>
                </c:pt>
                <c:pt idx="8">
                  <c:v>-5.9</c:v>
                </c:pt>
                <c:pt idx="9">
                  <c:v>-1.2</c:v>
                </c:pt>
                <c:pt idx="10">
                  <c:v>-1.1000000000000001</c:v>
                </c:pt>
                <c:pt idx="11">
                  <c:v>-0.4</c:v>
                </c:pt>
                <c:pt idx="12">
                  <c:v>-1.3</c:v>
                </c:pt>
              </c:numCache>
            </c:numRef>
          </c:val>
        </c:ser>
        <c:marker val="1"/>
        <c:axId val="63300352"/>
        <c:axId val="63301888"/>
      </c:lineChart>
      <c:catAx>
        <c:axId val="63300352"/>
        <c:scaling>
          <c:orientation val="minMax"/>
        </c:scaling>
        <c:axPos val="b"/>
        <c:numFmt formatCode="General" sourceLinked="1"/>
        <c:tickLblPos val="nextTo"/>
        <c:crossAx val="63301888"/>
        <c:crosses val="autoZero"/>
        <c:auto val="1"/>
        <c:lblAlgn val="ctr"/>
        <c:lblOffset val="100"/>
      </c:catAx>
      <c:valAx>
        <c:axId val="63301888"/>
        <c:scaling>
          <c:orientation val="minMax"/>
        </c:scaling>
        <c:axPos val="l"/>
        <c:majorGridlines/>
        <c:numFmt formatCode="General" sourceLinked="1"/>
        <c:tickLblPos val="nextTo"/>
        <c:crossAx val="6330035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7.841002356457269E-2"/>
          <c:y val="3.8651085484730056E-2"/>
          <c:w val="0.9038273696800555"/>
          <c:h val="0.94010430158371194"/>
        </c:manualLayout>
      </c:layout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t ⁰ C</c:v>
                </c:pt>
              </c:strCache>
            </c:strRef>
          </c:tx>
          <c:trendline>
            <c:spPr>
              <a:ln>
                <a:gradFill>
                  <a:gsLst>
                    <a:gs pos="0">
                      <a:srgbClr val="FF0000"/>
                    </a:gs>
                    <a:gs pos="50000">
                      <a:srgbClr val="4F81BD">
                        <a:tint val="44500"/>
                        <a:satMod val="160000"/>
                      </a:srgbClr>
                    </a:gs>
                    <a:gs pos="100000">
                      <a:srgbClr val="4F81BD">
                        <a:tint val="23500"/>
                        <a:satMod val="160000"/>
                      </a:srgbClr>
                    </a:gs>
                  </a:gsLst>
                  <a:lin ang="5400000" scaled="0"/>
                </a:gradFill>
              </a:ln>
            </c:spPr>
            <c:trendlineType val="log"/>
          </c:trendline>
          <c:cat>
            <c:numRef>
              <c:f>Лист1!$A$2:$A$62</c:f>
              <c:numCache>
                <c:formatCode>General</c:formatCode>
                <c:ptCount val="61"/>
                <c:pt idx="0">
                  <c:v>1960</c:v>
                </c:pt>
                <c:pt idx="1">
                  <c:v>1961</c:v>
                </c:pt>
                <c:pt idx="2">
                  <c:v>1962</c:v>
                </c:pt>
                <c:pt idx="3">
                  <c:v>1963</c:v>
                </c:pt>
                <c:pt idx="4">
                  <c:v>1964</c:v>
                </c:pt>
                <c:pt idx="5">
                  <c:v>1965</c:v>
                </c:pt>
                <c:pt idx="6">
                  <c:v>1966</c:v>
                </c:pt>
                <c:pt idx="7">
                  <c:v>1967</c:v>
                </c:pt>
                <c:pt idx="8">
                  <c:v>1968</c:v>
                </c:pt>
                <c:pt idx="9">
                  <c:v>1969</c:v>
                </c:pt>
                <c:pt idx="10">
                  <c:v>1970</c:v>
                </c:pt>
                <c:pt idx="11">
                  <c:v>1971</c:v>
                </c:pt>
                <c:pt idx="12">
                  <c:v>1972</c:v>
                </c:pt>
                <c:pt idx="13">
                  <c:v>1973</c:v>
                </c:pt>
                <c:pt idx="14">
                  <c:v>1974</c:v>
                </c:pt>
                <c:pt idx="15">
                  <c:v>1975</c:v>
                </c:pt>
                <c:pt idx="16">
                  <c:v>1976</c:v>
                </c:pt>
                <c:pt idx="17">
                  <c:v>1977</c:v>
                </c:pt>
                <c:pt idx="18">
                  <c:v>1978</c:v>
                </c:pt>
                <c:pt idx="19">
                  <c:v>1979</c:v>
                </c:pt>
                <c:pt idx="20">
                  <c:v>1980</c:v>
                </c:pt>
                <c:pt idx="21">
                  <c:v>1981</c:v>
                </c:pt>
                <c:pt idx="22">
                  <c:v>1982</c:v>
                </c:pt>
                <c:pt idx="23">
                  <c:v>1983</c:v>
                </c:pt>
                <c:pt idx="24">
                  <c:v>1984</c:v>
                </c:pt>
                <c:pt idx="25">
                  <c:v>1985</c:v>
                </c:pt>
                <c:pt idx="26">
                  <c:v>1986</c:v>
                </c:pt>
                <c:pt idx="27">
                  <c:v>1987</c:v>
                </c:pt>
                <c:pt idx="28">
                  <c:v>1988</c:v>
                </c:pt>
                <c:pt idx="29">
                  <c:v>1989</c:v>
                </c:pt>
                <c:pt idx="30">
                  <c:v>1990</c:v>
                </c:pt>
                <c:pt idx="31">
                  <c:v>1991</c:v>
                </c:pt>
                <c:pt idx="32">
                  <c:v>1992</c:v>
                </c:pt>
                <c:pt idx="33">
                  <c:v>1993</c:v>
                </c:pt>
                <c:pt idx="34">
                  <c:v>1994</c:v>
                </c:pt>
                <c:pt idx="35">
                  <c:v>1995</c:v>
                </c:pt>
                <c:pt idx="36">
                  <c:v>1996</c:v>
                </c:pt>
                <c:pt idx="37">
                  <c:v>1997</c:v>
                </c:pt>
                <c:pt idx="38">
                  <c:v>1998</c:v>
                </c:pt>
                <c:pt idx="39">
                  <c:v>1999</c:v>
                </c:pt>
                <c:pt idx="40">
                  <c:v>2000</c:v>
                </c:pt>
                <c:pt idx="41">
                  <c:v>2001</c:v>
                </c:pt>
                <c:pt idx="42">
                  <c:v>2002</c:v>
                </c:pt>
                <c:pt idx="43">
                  <c:v>2003</c:v>
                </c:pt>
                <c:pt idx="44">
                  <c:v>2004</c:v>
                </c:pt>
                <c:pt idx="45">
                  <c:v>2005</c:v>
                </c:pt>
                <c:pt idx="46">
                  <c:v>2006</c:v>
                </c:pt>
                <c:pt idx="47">
                  <c:v>2007</c:v>
                </c:pt>
                <c:pt idx="48">
                  <c:v>2008</c:v>
                </c:pt>
                <c:pt idx="49">
                  <c:v>2009</c:v>
                </c:pt>
                <c:pt idx="50">
                  <c:v>2010</c:v>
                </c:pt>
                <c:pt idx="51">
                  <c:v>2011</c:v>
                </c:pt>
                <c:pt idx="52">
                  <c:v>2012</c:v>
                </c:pt>
                <c:pt idx="53">
                  <c:v>2013</c:v>
                </c:pt>
                <c:pt idx="54">
                  <c:v>2014</c:v>
                </c:pt>
                <c:pt idx="55">
                  <c:v>2015</c:v>
                </c:pt>
                <c:pt idx="56">
                  <c:v>2016</c:v>
                </c:pt>
                <c:pt idx="57">
                  <c:v>2017</c:v>
                </c:pt>
                <c:pt idx="58">
                  <c:v>2018</c:v>
                </c:pt>
                <c:pt idx="59">
                  <c:v>2019</c:v>
                </c:pt>
                <c:pt idx="60">
                  <c:v>2020</c:v>
                </c:pt>
              </c:numCache>
            </c:numRef>
          </c:cat>
          <c:val>
            <c:numRef>
              <c:f>Лист1!$B$2:$B$62</c:f>
              <c:numCache>
                <c:formatCode>General</c:formatCode>
                <c:ptCount val="61"/>
                <c:pt idx="0">
                  <c:v>-8.9</c:v>
                </c:pt>
                <c:pt idx="1">
                  <c:v>-4.9000000000000004</c:v>
                </c:pt>
                <c:pt idx="2">
                  <c:v>-3.6</c:v>
                </c:pt>
                <c:pt idx="3">
                  <c:v>-6.7</c:v>
                </c:pt>
                <c:pt idx="4">
                  <c:v>-7.6</c:v>
                </c:pt>
                <c:pt idx="5">
                  <c:v>-6.9</c:v>
                </c:pt>
                <c:pt idx="6">
                  <c:v>-8</c:v>
                </c:pt>
                <c:pt idx="7">
                  <c:v>-2.9</c:v>
                </c:pt>
                <c:pt idx="8">
                  <c:v>-7.9</c:v>
                </c:pt>
                <c:pt idx="9">
                  <c:v>-7.8</c:v>
                </c:pt>
                <c:pt idx="10">
                  <c:v>-7.5</c:v>
                </c:pt>
                <c:pt idx="11">
                  <c:v>-6.6</c:v>
                </c:pt>
                <c:pt idx="12">
                  <c:v>-7.5</c:v>
                </c:pt>
                <c:pt idx="13">
                  <c:v>-5.2</c:v>
                </c:pt>
                <c:pt idx="14">
                  <c:v>-7.2</c:v>
                </c:pt>
                <c:pt idx="15">
                  <c:v>-5.5</c:v>
                </c:pt>
                <c:pt idx="16">
                  <c:v>-5.0999999999999996</c:v>
                </c:pt>
                <c:pt idx="17">
                  <c:v>-5.7</c:v>
                </c:pt>
                <c:pt idx="18">
                  <c:v>-6.8</c:v>
                </c:pt>
                <c:pt idx="19">
                  <c:v>-7.5</c:v>
                </c:pt>
                <c:pt idx="20">
                  <c:v>-5.6</c:v>
                </c:pt>
                <c:pt idx="21">
                  <c:v>-3.4</c:v>
                </c:pt>
                <c:pt idx="22">
                  <c:v>-5</c:v>
                </c:pt>
                <c:pt idx="23">
                  <c:v>-4.0999999999999996</c:v>
                </c:pt>
                <c:pt idx="24">
                  <c:v>-5.2</c:v>
                </c:pt>
                <c:pt idx="25">
                  <c:v>-6.8</c:v>
                </c:pt>
                <c:pt idx="26">
                  <c:v>-5.5</c:v>
                </c:pt>
                <c:pt idx="27">
                  <c:v>-5.9</c:v>
                </c:pt>
                <c:pt idx="28">
                  <c:v>-4.7</c:v>
                </c:pt>
                <c:pt idx="29">
                  <c:v>-4.7</c:v>
                </c:pt>
                <c:pt idx="30">
                  <c:v>-5.3</c:v>
                </c:pt>
                <c:pt idx="31">
                  <c:v>-4.0999999999999996</c:v>
                </c:pt>
                <c:pt idx="32">
                  <c:v>-6.7</c:v>
                </c:pt>
                <c:pt idx="33">
                  <c:v>-4</c:v>
                </c:pt>
                <c:pt idx="34">
                  <c:v>-5.8</c:v>
                </c:pt>
                <c:pt idx="35">
                  <c:v>-2.4</c:v>
                </c:pt>
                <c:pt idx="36">
                  <c:v>-4.3</c:v>
                </c:pt>
                <c:pt idx="37">
                  <c:v>-5.7</c:v>
                </c:pt>
                <c:pt idx="38">
                  <c:v>-8</c:v>
                </c:pt>
                <c:pt idx="39">
                  <c:v>-6.2</c:v>
                </c:pt>
                <c:pt idx="40">
                  <c:v>-5.2</c:v>
                </c:pt>
                <c:pt idx="41">
                  <c:v>-6.2</c:v>
                </c:pt>
                <c:pt idx="42">
                  <c:v>-5.5</c:v>
                </c:pt>
                <c:pt idx="43">
                  <c:v>-4.3</c:v>
                </c:pt>
                <c:pt idx="44">
                  <c:v>-5.3</c:v>
                </c:pt>
                <c:pt idx="45">
                  <c:v>-2.6</c:v>
                </c:pt>
                <c:pt idx="46">
                  <c:v>-6.8</c:v>
                </c:pt>
                <c:pt idx="47">
                  <c:v>-2.8</c:v>
                </c:pt>
                <c:pt idx="48">
                  <c:v>-3.5</c:v>
                </c:pt>
                <c:pt idx="49">
                  <c:v>-6.4</c:v>
                </c:pt>
                <c:pt idx="50">
                  <c:v>-6.6</c:v>
                </c:pt>
                <c:pt idx="51">
                  <c:v>-2.4</c:v>
                </c:pt>
                <c:pt idx="52">
                  <c:v>-2.2999999999999998</c:v>
                </c:pt>
                <c:pt idx="53">
                  <c:v>-4.8</c:v>
                </c:pt>
                <c:pt idx="54">
                  <c:v>-5.8</c:v>
                </c:pt>
                <c:pt idx="55">
                  <c:v>-3.5</c:v>
                </c:pt>
                <c:pt idx="56">
                  <c:v>-2.1</c:v>
                </c:pt>
                <c:pt idx="57">
                  <c:v>-3.1</c:v>
                </c:pt>
                <c:pt idx="58">
                  <c:v>-4.5</c:v>
                </c:pt>
                <c:pt idx="59">
                  <c:v>-3.5</c:v>
                </c:pt>
              </c:numCache>
            </c:numRef>
          </c:val>
        </c:ser>
        <c:marker val="1"/>
        <c:axId val="63474304"/>
        <c:axId val="63484288"/>
      </c:lineChart>
      <c:catAx>
        <c:axId val="63474304"/>
        <c:scaling>
          <c:orientation val="minMax"/>
        </c:scaling>
        <c:axPos val="b"/>
        <c:numFmt formatCode="General" sourceLinked="1"/>
        <c:tickLblPos val="nextTo"/>
        <c:crossAx val="63484288"/>
        <c:crosses val="autoZero"/>
        <c:auto val="1"/>
        <c:lblAlgn val="ctr"/>
        <c:lblOffset val="100"/>
      </c:catAx>
      <c:valAx>
        <c:axId val="63484288"/>
        <c:scaling>
          <c:orientation val="minMax"/>
        </c:scaling>
        <c:axPos val="l"/>
        <c:majorGridlines/>
        <c:numFmt formatCode="General" sourceLinked="1"/>
        <c:tickLblPos val="nextTo"/>
        <c:crossAx val="63474304"/>
        <c:crosses val="autoZero"/>
        <c:crossBetween val="between"/>
      </c:valAx>
    </c:plotArea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10"/>
  <c:chart>
    <c:autoTitleDeleted val="1"/>
    <c:plotArea>
      <c:layout/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Калининград</c:v>
                </c:pt>
              </c:strCache>
            </c:strRef>
          </c:tx>
          <c:marker>
            <c:symbol val="none"/>
          </c:marker>
          <c:cat>
            <c:numRef>
              <c:f>Лист1!$A$2:$A$62</c:f>
              <c:numCache>
                <c:formatCode>General</c:formatCode>
                <c:ptCount val="61"/>
                <c:pt idx="0">
                  <c:v>1960</c:v>
                </c:pt>
                <c:pt idx="1">
                  <c:v>1961</c:v>
                </c:pt>
                <c:pt idx="2">
                  <c:v>1962</c:v>
                </c:pt>
                <c:pt idx="3">
                  <c:v>1963</c:v>
                </c:pt>
                <c:pt idx="4">
                  <c:v>1964</c:v>
                </c:pt>
                <c:pt idx="5">
                  <c:v>1965</c:v>
                </c:pt>
                <c:pt idx="6">
                  <c:v>1966</c:v>
                </c:pt>
                <c:pt idx="7">
                  <c:v>1967</c:v>
                </c:pt>
                <c:pt idx="8">
                  <c:v>1968</c:v>
                </c:pt>
                <c:pt idx="9">
                  <c:v>1969</c:v>
                </c:pt>
                <c:pt idx="10">
                  <c:v>1970</c:v>
                </c:pt>
                <c:pt idx="11">
                  <c:v>1971</c:v>
                </c:pt>
                <c:pt idx="12">
                  <c:v>1972</c:v>
                </c:pt>
                <c:pt idx="13">
                  <c:v>1973</c:v>
                </c:pt>
                <c:pt idx="14">
                  <c:v>1974</c:v>
                </c:pt>
                <c:pt idx="15">
                  <c:v>1975</c:v>
                </c:pt>
                <c:pt idx="16">
                  <c:v>1976</c:v>
                </c:pt>
                <c:pt idx="17">
                  <c:v>1977</c:v>
                </c:pt>
                <c:pt idx="18">
                  <c:v>1978</c:v>
                </c:pt>
                <c:pt idx="19">
                  <c:v>1979</c:v>
                </c:pt>
                <c:pt idx="20">
                  <c:v>1980</c:v>
                </c:pt>
                <c:pt idx="21">
                  <c:v>1981</c:v>
                </c:pt>
                <c:pt idx="22">
                  <c:v>1982</c:v>
                </c:pt>
                <c:pt idx="23">
                  <c:v>1983</c:v>
                </c:pt>
                <c:pt idx="24">
                  <c:v>1984</c:v>
                </c:pt>
                <c:pt idx="25">
                  <c:v>1985</c:v>
                </c:pt>
                <c:pt idx="26">
                  <c:v>1986</c:v>
                </c:pt>
                <c:pt idx="27">
                  <c:v>1987</c:v>
                </c:pt>
                <c:pt idx="28">
                  <c:v>1988</c:v>
                </c:pt>
                <c:pt idx="29">
                  <c:v>1989</c:v>
                </c:pt>
                <c:pt idx="30">
                  <c:v>1990</c:v>
                </c:pt>
                <c:pt idx="31">
                  <c:v>1991</c:v>
                </c:pt>
                <c:pt idx="32">
                  <c:v>1992</c:v>
                </c:pt>
                <c:pt idx="33">
                  <c:v>1993</c:v>
                </c:pt>
                <c:pt idx="34">
                  <c:v>1994</c:v>
                </c:pt>
                <c:pt idx="35">
                  <c:v>1995</c:v>
                </c:pt>
                <c:pt idx="36">
                  <c:v>1996</c:v>
                </c:pt>
                <c:pt idx="37">
                  <c:v>1997</c:v>
                </c:pt>
                <c:pt idx="38">
                  <c:v>1998</c:v>
                </c:pt>
                <c:pt idx="39">
                  <c:v>1999</c:v>
                </c:pt>
                <c:pt idx="40">
                  <c:v>2000</c:v>
                </c:pt>
                <c:pt idx="41">
                  <c:v>2001</c:v>
                </c:pt>
                <c:pt idx="42">
                  <c:v>2002</c:v>
                </c:pt>
                <c:pt idx="43">
                  <c:v>2003</c:v>
                </c:pt>
                <c:pt idx="44">
                  <c:v>2004</c:v>
                </c:pt>
                <c:pt idx="45">
                  <c:v>2005</c:v>
                </c:pt>
                <c:pt idx="46">
                  <c:v>2006</c:v>
                </c:pt>
                <c:pt idx="47">
                  <c:v>2007</c:v>
                </c:pt>
                <c:pt idx="48">
                  <c:v>2008</c:v>
                </c:pt>
                <c:pt idx="49">
                  <c:v>2009</c:v>
                </c:pt>
                <c:pt idx="50">
                  <c:v>2010</c:v>
                </c:pt>
                <c:pt idx="51">
                  <c:v>2011</c:v>
                </c:pt>
                <c:pt idx="52">
                  <c:v>2012</c:v>
                </c:pt>
                <c:pt idx="53">
                  <c:v>2013</c:v>
                </c:pt>
                <c:pt idx="54">
                  <c:v>2014</c:v>
                </c:pt>
                <c:pt idx="55">
                  <c:v>2015</c:v>
                </c:pt>
                <c:pt idx="56">
                  <c:v>2016</c:v>
                </c:pt>
                <c:pt idx="57">
                  <c:v>2017</c:v>
                </c:pt>
                <c:pt idx="58">
                  <c:v>2018</c:v>
                </c:pt>
                <c:pt idx="59">
                  <c:v>2019</c:v>
                </c:pt>
                <c:pt idx="60">
                  <c:v>2020</c:v>
                </c:pt>
              </c:numCache>
            </c:numRef>
          </c:cat>
          <c:val>
            <c:numRef>
              <c:f>Лист1!$B$2:$B$62</c:f>
              <c:numCache>
                <c:formatCode>0.00</c:formatCode>
                <c:ptCount val="61"/>
                <c:pt idx="0" formatCode="General">
                  <c:v>6.8</c:v>
                </c:pt>
                <c:pt idx="1">
                  <c:v>7.9</c:v>
                </c:pt>
                <c:pt idx="2" formatCode="General">
                  <c:v>6.3</c:v>
                </c:pt>
                <c:pt idx="3" formatCode="General">
                  <c:v>6.2</c:v>
                </c:pt>
                <c:pt idx="4" formatCode="General">
                  <c:v>6.8</c:v>
                </c:pt>
                <c:pt idx="5" formatCode="General">
                  <c:v>6.2</c:v>
                </c:pt>
                <c:pt idx="6" formatCode="General">
                  <c:v>7</c:v>
                </c:pt>
                <c:pt idx="7" formatCode="General">
                  <c:v>8.1</c:v>
                </c:pt>
                <c:pt idx="8" formatCode="General">
                  <c:v>7.2</c:v>
                </c:pt>
                <c:pt idx="9" formatCode="General">
                  <c:v>5.9</c:v>
                </c:pt>
                <c:pt idx="10" formatCode="General">
                  <c:v>6.2</c:v>
                </c:pt>
                <c:pt idx="11" formatCode="General">
                  <c:v>7.9</c:v>
                </c:pt>
                <c:pt idx="12" formatCode="General">
                  <c:v>7.3</c:v>
                </c:pt>
                <c:pt idx="13" formatCode="General">
                  <c:v>7.6</c:v>
                </c:pt>
                <c:pt idx="14" formatCode="General">
                  <c:v>7.7</c:v>
                </c:pt>
                <c:pt idx="15" formatCode="General">
                  <c:v>8.9</c:v>
                </c:pt>
                <c:pt idx="16" formatCode="General">
                  <c:v>6.2</c:v>
                </c:pt>
                <c:pt idx="17" formatCode="General">
                  <c:v>7.3</c:v>
                </c:pt>
                <c:pt idx="18" formatCode="General">
                  <c:v>6.6</c:v>
                </c:pt>
                <c:pt idx="19" formatCode="General">
                  <c:v>6.5</c:v>
                </c:pt>
                <c:pt idx="20" formatCode="General">
                  <c:v>6.1</c:v>
                </c:pt>
                <c:pt idx="21" formatCode="General">
                  <c:v>7.2</c:v>
                </c:pt>
                <c:pt idx="22" formatCode="General">
                  <c:v>7.7</c:v>
                </c:pt>
                <c:pt idx="23" formatCode="General">
                  <c:v>8.5</c:v>
                </c:pt>
                <c:pt idx="24" formatCode="General">
                  <c:v>7.5</c:v>
                </c:pt>
                <c:pt idx="25">
                  <c:v>6.1</c:v>
                </c:pt>
                <c:pt idx="26" formatCode="General">
                  <c:v>7.1</c:v>
                </c:pt>
                <c:pt idx="27" formatCode="General">
                  <c:v>5.6</c:v>
                </c:pt>
                <c:pt idx="28" formatCode="General">
                  <c:v>7.8</c:v>
                </c:pt>
                <c:pt idx="29" formatCode="General">
                  <c:v>9.1</c:v>
                </c:pt>
                <c:pt idx="30">
                  <c:v>9.3000000000000007</c:v>
                </c:pt>
                <c:pt idx="31" formatCode="General">
                  <c:v>8</c:v>
                </c:pt>
                <c:pt idx="32" formatCode="General">
                  <c:v>8.5</c:v>
                </c:pt>
                <c:pt idx="33" formatCode="General">
                  <c:v>7.4</c:v>
                </c:pt>
                <c:pt idx="34">
                  <c:v>8.1</c:v>
                </c:pt>
                <c:pt idx="35" formatCode="General">
                  <c:v>7.9</c:v>
                </c:pt>
                <c:pt idx="36" formatCode="General">
                  <c:v>6.2</c:v>
                </c:pt>
                <c:pt idx="37">
                  <c:v>7.9</c:v>
                </c:pt>
                <c:pt idx="38" formatCode="General">
                  <c:v>7.6</c:v>
                </c:pt>
                <c:pt idx="39" formatCode="General">
                  <c:v>8.5</c:v>
                </c:pt>
                <c:pt idx="40" formatCode="General">
                  <c:v>9.1</c:v>
                </c:pt>
                <c:pt idx="41" formatCode="General">
                  <c:v>8</c:v>
                </c:pt>
                <c:pt idx="42" formatCode="General">
                  <c:v>8.9</c:v>
                </c:pt>
                <c:pt idx="43">
                  <c:v>7.9</c:v>
                </c:pt>
                <c:pt idx="44">
                  <c:v>7.9</c:v>
                </c:pt>
                <c:pt idx="45">
                  <c:v>7.9</c:v>
                </c:pt>
                <c:pt idx="46" formatCode="General">
                  <c:v>8.6</c:v>
                </c:pt>
                <c:pt idx="47" formatCode="General">
                  <c:v>9</c:v>
                </c:pt>
                <c:pt idx="48" formatCode="General">
                  <c:v>9.1</c:v>
                </c:pt>
                <c:pt idx="49" formatCode="General">
                  <c:v>8.1</c:v>
                </c:pt>
                <c:pt idx="50" formatCode="General">
                  <c:v>6.9</c:v>
                </c:pt>
                <c:pt idx="51" formatCode="General">
                  <c:v>8.5</c:v>
                </c:pt>
                <c:pt idx="52" formatCode="General">
                  <c:v>7.7</c:v>
                </c:pt>
                <c:pt idx="53">
                  <c:v>8.2000000000000011</c:v>
                </c:pt>
                <c:pt idx="54" formatCode="General">
                  <c:v>9</c:v>
                </c:pt>
                <c:pt idx="55" formatCode="General">
                  <c:v>9.2000000000000011</c:v>
                </c:pt>
                <c:pt idx="56" formatCode="General">
                  <c:v>8.9</c:v>
                </c:pt>
                <c:pt idx="57">
                  <c:v>8.6</c:v>
                </c:pt>
                <c:pt idx="58">
                  <c:v>9.2000000000000011</c:v>
                </c:pt>
                <c:pt idx="59" formatCode="General">
                  <c:v>9.8000000000000007</c:v>
                </c:pt>
                <c:pt idx="60" formatCode="General">
                  <c:v>9.9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Москва</c:v>
                </c:pt>
              </c:strCache>
            </c:strRef>
          </c:tx>
          <c:marker>
            <c:symbol val="none"/>
          </c:marker>
          <c:dLbls>
            <c:dLbl>
              <c:idx val="60"/>
              <c:layout>
                <c:manualLayout>
                  <c:x val="-5.555489939532649E-3"/>
                  <c:y val="0"/>
                </c:manualLayout>
              </c:layout>
              <c:showVal val="1"/>
            </c:dLbl>
            <c:showVal val="1"/>
          </c:dLbls>
          <c:cat>
            <c:numRef>
              <c:f>Лист1!$A$2:$A$62</c:f>
              <c:numCache>
                <c:formatCode>General</c:formatCode>
                <c:ptCount val="61"/>
                <c:pt idx="0">
                  <c:v>1960</c:v>
                </c:pt>
                <c:pt idx="1">
                  <c:v>1961</c:v>
                </c:pt>
                <c:pt idx="2">
                  <c:v>1962</c:v>
                </c:pt>
                <c:pt idx="3">
                  <c:v>1963</c:v>
                </c:pt>
                <c:pt idx="4">
                  <c:v>1964</c:v>
                </c:pt>
                <c:pt idx="5">
                  <c:v>1965</c:v>
                </c:pt>
                <c:pt idx="6">
                  <c:v>1966</c:v>
                </c:pt>
                <c:pt idx="7">
                  <c:v>1967</c:v>
                </c:pt>
                <c:pt idx="8">
                  <c:v>1968</c:v>
                </c:pt>
                <c:pt idx="9">
                  <c:v>1969</c:v>
                </c:pt>
                <c:pt idx="10">
                  <c:v>1970</c:v>
                </c:pt>
                <c:pt idx="11">
                  <c:v>1971</c:v>
                </c:pt>
                <c:pt idx="12">
                  <c:v>1972</c:v>
                </c:pt>
                <c:pt idx="13">
                  <c:v>1973</c:v>
                </c:pt>
                <c:pt idx="14">
                  <c:v>1974</c:v>
                </c:pt>
                <c:pt idx="15">
                  <c:v>1975</c:v>
                </c:pt>
                <c:pt idx="16">
                  <c:v>1976</c:v>
                </c:pt>
                <c:pt idx="17">
                  <c:v>1977</c:v>
                </c:pt>
                <c:pt idx="18">
                  <c:v>1978</c:v>
                </c:pt>
                <c:pt idx="19">
                  <c:v>1979</c:v>
                </c:pt>
                <c:pt idx="20">
                  <c:v>1980</c:v>
                </c:pt>
                <c:pt idx="21">
                  <c:v>1981</c:v>
                </c:pt>
                <c:pt idx="22">
                  <c:v>1982</c:v>
                </c:pt>
                <c:pt idx="23">
                  <c:v>1983</c:v>
                </c:pt>
                <c:pt idx="24">
                  <c:v>1984</c:v>
                </c:pt>
                <c:pt idx="25">
                  <c:v>1985</c:v>
                </c:pt>
                <c:pt idx="26">
                  <c:v>1986</c:v>
                </c:pt>
                <c:pt idx="27">
                  <c:v>1987</c:v>
                </c:pt>
                <c:pt idx="28">
                  <c:v>1988</c:v>
                </c:pt>
                <c:pt idx="29">
                  <c:v>1989</c:v>
                </c:pt>
                <c:pt idx="30">
                  <c:v>1990</c:v>
                </c:pt>
                <c:pt idx="31">
                  <c:v>1991</c:v>
                </c:pt>
                <c:pt idx="32">
                  <c:v>1992</c:v>
                </c:pt>
                <c:pt idx="33">
                  <c:v>1993</c:v>
                </c:pt>
                <c:pt idx="34">
                  <c:v>1994</c:v>
                </c:pt>
                <c:pt idx="35">
                  <c:v>1995</c:v>
                </c:pt>
                <c:pt idx="36">
                  <c:v>1996</c:v>
                </c:pt>
                <c:pt idx="37">
                  <c:v>1997</c:v>
                </c:pt>
                <c:pt idx="38">
                  <c:v>1998</c:v>
                </c:pt>
                <c:pt idx="39">
                  <c:v>1999</c:v>
                </c:pt>
                <c:pt idx="40">
                  <c:v>2000</c:v>
                </c:pt>
                <c:pt idx="41">
                  <c:v>2001</c:v>
                </c:pt>
                <c:pt idx="42">
                  <c:v>2002</c:v>
                </c:pt>
                <c:pt idx="43">
                  <c:v>2003</c:v>
                </c:pt>
                <c:pt idx="44">
                  <c:v>2004</c:v>
                </c:pt>
                <c:pt idx="45">
                  <c:v>2005</c:v>
                </c:pt>
                <c:pt idx="46">
                  <c:v>2006</c:v>
                </c:pt>
                <c:pt idx="47">
                  <c:v>2007</c:v>
                </c:pt>
                <c:pt idx="48">
                  <c:v>2008</c:v>
                </c:pt>
                <c:pt idx="49">
                  <c:v>2009</c:v>
                </c:pt>
                <c:pt idx="50">
                  <c:v>2010</c:v>
                </c:pt>
                <c:pt idx="51">
                  <c:v>2011</c:v>
                </c:pt>
                <c:pt idx="52">
                  <c:v>2012</c:v>
                </c:pt>
                <c:pt idx="53">
                  <c:v>2013</c:v>
                </c:pt>
                <c:pt idx="54">
                  <c:v>2014</c:v>
                </c:pt>
                <c:pt idx="55">
                  <c:v>2015</c:v>
                </c:pt>
                <c:pt idx="56">
                  <c:v>2016</c:v>
                </c:pt>
                <c:pt idx="57">
                  <c:v>2017</c:v>
                </c:pt>
                <c:pt idx="58">
                  <c:v>2018</c:v>
                </c:pt>
                <c:pt idx="59">
                  <c:v>2019</c:v>
                </c:pt>
                <c:pt idx="60">
                  <c:v>2020</c:v>
                </c:pt>
              </c:numCache>
            </c:numRef>
          </c:cat>
          <c:val>
            <c:numRef>
              <c:f>Лист1!$C$2:$C$62</c:f>
              <c:numCache>
                <c:formatCode>0.00</c:formatCode>
                <c:ptCount val="61"/>
                <c:pt idx="0">
                  <c:v>4.9000000000000004</c:v>
                </c:pt>
                <c:pt idx="1">
                  <c:v>5.8</c:v>
                </c:pt>
                <c:pt idx="2" formatCode="General">
                  <c:v>5.0999999999999996</c:v>
                </c:pt>
                <c:pt idx="3" formatCode="General">
                  <c:v>3.8</c:v>
                </c:pt>
                <c:pt idx="4" formatCode="General">
                  <c:v>5</c:v>
                </c:pt>
                <c:pt idx="5" formatCode="General">
                  <c:v>3.9</c:v>
                </c:pt>
                <c:pt idx="6" formatCode="General">
                  <c:v>5.2</c:v>
                </c:pt>
                <c:pt idx="7" formatCode="General">
                  <c:v>5.3</c:v>
                </c:pt>
                <c:pt idx="8" formatCode="General">
                  <c:v>4.3</c:v>
                </c:pt>
                <c:pt idx="9" formatCode="General">
                  <c:v>3.1</c:v>
                </c:pt>
                <c:pt idx="10" formatCode="General">
                  <c:v>4.8</c:v>
                </c:pt>
                <c:pt idx="11" formatCode="General">
                  <c:v>4.8</c:v>
                </c:pt>
                <c:pt idx="12" formatCode="General">
                  <c:v>5.9</c:v>
                </c:pt>
                <c:pt idx="13" formatCode="General">
                  <c:v>5.2</c:v>
                </c:pt>
                <c:pt idx="14" formatCode="General">
                  <c:v>6</c:v>
                </c:pt>
                <c:pt idx="15" formatCode="General">
                  <c:v>6.6</c:v>
                </c:pt>
                <c:pt idx="16" formatCode="General">
                  <c:v>3.2</c:v>
                </c:pt>
                <c:pt idx="17" formatCode="General">
                  <c:v>5</c:v>
                </c:pt>
                <c:pt idx="18" formatCode="General">
                  <c:v>3.8</c:v>
                </c:pt>
                <c:pt idx="19" formatCode="General">
                  <c:v>5</c:v>
                </c:pt>
                <c:pt idx="20" formatCode="General">
                  <c:v>4.0999999999999996</c:v>
                </c:pt>
                <c:pt idx="21" formatCode="General">
                  <c:v>6.4</c:v>
                </c:pt>
                <c:pt idx="22" formatCode="General">
                  <c:v>5.3</c:v>
                </c:pt>
                <c:pt idx="23" formatCode="General">
                  <c:v>6.2</c:v>
                </c:pt>
                <c:pt idx="24" formatCode="General">
                  <c:v>5.0999999999999996</c:v>
                </c:pt>
                <c:pt idx="25" formatCode="General">
                  <c:v>4</c:v>
                </c:pt>
                <c:pt idx="26" formatCode="General">
                  <c:v>4.9000000000000004</c:v>
                </c:pt>
                <c:pt idx="27" formatCode="General">
                  <c:v>3.2</c:v>
                </c:pt>
                <c:pt idx="28" formatCode="General">
                  <c:v>5.6</c:v>
                </c:pt>
                <c:pt idx="29" formatCode="General">
                  <c:v>7.1</c:v>
                </c:pt>
                <c:pt idx="30" formatCode="General">
                  <c:v>6.3</c:v>
                </c:pt>
                <c:pt idx="31" formatCode="General">
                  <c:v>6.2</c:v>
                </c:pt>
                <c:pt idx="32" formatCode="General">
                  <c:v>5.9</c:v>
                </c:pt>
                <c:pt idx="33" formatCode="General">
                  <c:v>4.7</c:v>
                </c:pt>
                <c:pt idx="34">
                  <c:v>4.5999999999999996</c:v>
                </c:pt>
                <c:pt idx="35">
                  <c:v>6.6</c:v>
                </c:pt>
                <c:pt idx="36" formatCode="General">
                  <c:v>5.4</c:v>
                </c:pt>
                <c:pt idx="37" formatCode="General">
                  <c:v>5</c:v>
                </c:pt>
                <c:pt idx="38" formatCode="General">
                  <c:v>5.0999999999999996</c:v>
                </c:pt>
                <c:pt idx="39" formatCode="General">
                  <c:v>6.6</c:v>
                </c:pt>
                <c:pt idx="40" formatCode="General">
                  <c:v>6.6</c:v>
                </c:pt>
                <c:pt idx="41">
                  <c:v>5.9</c:v>
                </c:pt>
                <c:pt idx="42" formatCode="General">
                  <c:v>6.2</c:v>
                </c:pt>
                <c:pt idx="43">
                  <c:v>5.7</c:v>
                </c:pt>
                <c:pt idx="44">
                  <c:v>5.8</c:v>
                </c:pt>
                <c:pt idx="45">
                  <c:v>6.2</c:v>
                </c:pt>
                <c:pt idx="46">
                  <c:v>5.5</c:v>
                </c:pt>
                <c:pt idx="47">
                  <c:v>7.1</c:v>
                </c:pt>
                <c:pt idx="48">
                  <c:v>7.3</c:v>
                </c:pt>
                <c:pt idx="49">
                  <c:v>6.2</c:v>
                </c:pt>
                <c:pt idx="50">
                  <c:v>6.5</c:v>
                </c:pt>
                <c:pt idx="51">
                  <c:v>6.7</c:v>
                </c:pt>
                <c:pt idx="52">
                  <c:v>5.8</c:v>
                </c:pt>
                <c:pt idx="53">
                  <c:v>6.7</c:v>
                </c:pt>
                <c:pt idx="54">
                  <c:v>6.9</c:v>
                </c:pt>
                <c:pt idx="55">
                  <c:v>7.4</c:v>
                </c:pt>
                <c:pt idx="56">
                  <c:v>6.7</c:v>
                </c:pt>
                <c:pt idx="57">
                  <c:v>6.3</c:v>
                </c:pt>
                <c:pt idx="58">
                  <c:v>6.6</c:v>
                </c:pt>
                <c:pt idx="59">
                  <c:v>7.8</c:v>
                </c:pt>
                <c:pt idx="60">
                  <c:v>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Краснодар</c:v>
                </c:pt>
              </c:strCache>
            </c:strRef>
          </c:tx>
          <c:marker>
            <c:symbol val="none"/>
          </c:marker>
          <c:cat>
            <c:numRef>
              <c:f>Лист1!$A$2:$A$62</c:f>
              <c:numCache>
                <c:formatCode>General</c:formatCode>
                <c:ptCount val="61"/>
                <c:pt idx="0">
                  <c:v>1960</c:v>
                </c:pt>
                <c:pt idx="1">
                  <c:v>1961</c:v>
                </c:pt>
                <c:pt idx="2">
                  <c:v>1962</c:v>
                </c:pt>
                <c:pt idx="3">
                  <c:v>1963</c:v>
                </c:pt>
                <c:pt idx="4">
                  <c:v>1964</c:v>
                </c:pt>
                <c:pt idx="5">
                  <c:v>1965</c:v>
                </c:pt>
                <c:pt idx="6">
                  <c:v>1966</c:v>
                </c:pt>
                <c:pt idx="7">
                  <c:v>1967</c:v>
                </c:pt>
                <c:pt idx="8">
                  <c:v>1968</c:v>
                </c:pt>
                <c:pt idx="9">
                  <c:v>1969</c:v>
                </c:pt>
                <c:pt idx="10">
                  <c:v>1970</c:v>
                </c:pt>
                <c:pt idx="11">
                  <c:v>1971</c:v>
                </c:pt>
                <c:pt idx="12">
                  <c:v>1972</c:v>
                </c:pt>
                <c:pt idx="13">
                  <c:v>1973</c:v>
                </c:pt>
                <c:pt idx="14">
                  <c:v>1974</c:v>
                </c:pt>
                <c:pt idx="15">
                  <c:v>1975</c:v>
                </c:pt>
                <c:pt idx="16">
                  <c:v>1976</c:v>
                </c:pt>
                <c:pt idx="17">
                  <c:v>1977</c:v>
                </c:pt>
                <c:pt idx="18">
                  <c:v>1978</c:v>
                </c:pt>
                <c:pt idx="19">
                  <c:v>1979</c:v>
                </c:pt>
                <c:pt idx="20">
                  <c:v>1980</c:v>
                </c:pt>
                <c:pt idx="21">
                  <c:v>1981</c:v>
                </c:pt>
                <c:pt idx="22">
                  <c:v>1982</c:v>
                </c:pt>
                <c:pt idx="23">
                  <c:v>1983</c:v>
                </c:pt>
                <c:pt idx="24">
                  <c:v>1984</c:v>
                </c:pt>
                <c:pt idx="25">
                  <c:v>1985</c:v>
                </c:pt>
                <c:pt idx="26">
                  <c:v>1986</c:v>
                </c:pt>
                <c:pt idx="27">
                  <c:v>1987</c:v>
                </c:pt>
                <c:pt idx="28">
                  <c:v>1988</c:v>
                </c:pt>
                <c:pt idx="29">
                  <c:v>1989</c:v>
                </c:pt>
                <c:pt idx="30">
                  <c:v>1990</c:v>
                </c:pt>
                <c:pt idx="31">
                  <c:v>1991</c:v>
                </c:pt>
                <c:pt idx="32">
                  <c:v>1992</c:v>
                </c:pt>
                <c:pt idx="33">
                  <c:v>1993</c:v>
                </c:pt>
                <c:pt idx="34">
                  <c:v>1994</c:v>
                </c:pt>
                <c:pt idx="35">
                  <c:v>1995</c:v>
                </c:pt>
                <c:pt idx="36">
                  <c:v>1996</c:v>
                </c:pt>
                <c:pt idx="37">
                  <c:v>1997</c:v>
                </c:pt>
                <c:pt idx="38">
                  <c:v>1998</c:v>
                </c:pt>
                <c:pt idx="39">
                  <c:v>1999</c:v>
                </c:pt>
                <c:pt idx="40">
                  <c:v>2000</c:v>
                </c:pt>
                <c:pt idx="41">
                  <c:v>2001</c:v>
                </c:pt>
                <c:pt idx="42">
                  <c:v>2002</c:v>
                </c:pt>
                <c:pt idx="43">
                  <c:v>2003</c:v>
                </c:pt>
                <c:pt idx="44">
                  <c:v>2004</c:v>
                </c:pt>
                <c:pt idx="45">
                  <c:v>2005</c:v>
                </c:pt>
                <c:pt idx="46">
                  <c:v>2006</c:v>
                </c:pt>
                <c:pt idx="47">
                  <c:v>2007</c:v>
                </c:pt>
                <c:pt idx="48">
                  <c:v>2008</c:v>
                </c:pt>
                <c:pt idx="49">
                  <c:v>2009</c:v>
                </c:pt>
                <c:pt idx="50">
                  <c:v>2010</c:v>
                </c:pt>
                <c:pt idx="51">
                  <c:v>2011</c:v>
                </c:pt>
                <c:pt idx="52">
                  <c:v>2012</c:v>
                </c:pt>
                <c:pt idx="53">
                  <c:v>2013</c:v>
                </c:pt>
                <c:pt idx="54">
                  <c:v>2014</c:v>
                </c:pt>
                <c:pt idx="55">
                  <c:v>2015</c:v>
                </c:pt>
                <c:pt idx="56">
                  <c:v>2016</c:v>
                </c:pt>
                <c:pt idx="57">
                  <c:v>2017</c:v>
                </c:pt>
                <c:pt idx="58">
                  <c:v>2018</c:v>
                </c:pt>
                <c:pt idx="59">
                  <c:v>2019</c:v>
                </c:pt>
                <c:pt idx="60">
                  <c:v>2020</c:v>
                </c:pt>
              </c:numCache>
            </c:numRef>
          </c:cat>
          <c:val>
            <c:numRef>
              <c:f>Лист1!$D$2:$D$62</c:f>
              <c:numCache>
                <c:formatCode>General</c:formatCode>
                <c:ptCount val="61"/>
                <c:pt idx="0">
                  <c:v>11.8</c:v>
                </c:pt>
                <c:pt idx="1">
                  <c:v>11.6</c:v>
                </c:pt>
                <c:pt idx="2">
                  <c:v>12.8</c:v>
                </c:pt>
                <c:pt idx="3">
                  <c:v>11.4</c:v>
                </c:pt>
                <c:pt idx="4">
                  <c:v>10.4</c:v>
                </c:pt>
                <c:pt idx="5">
                  <c:v>11</c:v>
                </c:pt>
                <c:pt idx="6">
                  <c:v>13.4</c:v>
                </c:pt>
                <c:pt idx="7">
                  <c:v>11.5</c:v>
                </c:pt>
                <c:pt idx="8">
                  <c:v>11.8</c:v>
                </c:pt>
                <c:pt idx="9">
                  <c:v>10.9</c:v>
                </c:pt>
                <c:pt idx="10">
                  <c:v>11.9</c:v>
                </c:pt>
                <c:pt idx="11">
                  <c:v>12.2</c:v>
                </c:pt>
                <c:pt idx="12">
                  <c:v>11</c:v>
                </c:pt>
                <c:pt idx="13">
                  <c:v>11.1</c:v>
                </c:pt>
                <c:pt idx="14">
                  <c:v>11.3</c:v>
                </c:pt>
                <c:pt idx="15">
                  <c:v>12</c:v>
                </c:pt>
                <c:pt idx="16">
                  <c:v>10.1</c:v>
                </c:pt>
                <c:pt idx="17">
                  <c:v>11.1</c:v>
                </c:pt>
                <c:pt idx="18">
                  <c:v>11.1</c:v>
                </c:pt>
                <c:pt idx="19">
                  <c:v>12.3</c:v>
                </c:pt>
                <c:pt idx="20">
                  <c:v>11.3</c:v>
                </c:pt>
                <c:pt idx="21">
                  <c:v>13</c:v>
                </c:pt>
                <c:pt idx="22">
                  <c:v>10.6</c:v>
                </c:pt>
                <c:pt idx="23">
                  <c:v>11.9</c:v>
                </c:pt>
                <c:pt idx="24">
                  <c:v>11.3</c:v>
                </c:pt>
                <c:pt idx="25">
                  <c:v>10.3</c:v>
                </c:pt>
                <c:pt idx="26">
                  <c:v>11.6</c:v>
                </c:pt>
                <c:pt idx="27">
                  <c:v>10.1</c:v>
                </c:pt>
                <c:pt idx="28">
                  <c:v>11.2</c:v>
                </c:pt>
                <c:pt idx="29">
                  <c:v>12.4</c:v>
                </c:pt>
                <c:pt idx="30">
                  <c:v>12.3</c:v>
                </c:pt>
                <c:pt idx="31">
                  <c:v>11.3</c:v>
                </c:pt>
                <c:pt idx="32">
                  <c:v>10.8</c:v>
                </c:pt>
                <c:pt idx="33">
                  <c:v>10.1</c:v>
                </c:pt>
                <c:pt idx="34">
                  <c:v>11.9</c:v>
                </c:pt>
                <c:pt idx="35">
                  <c:v>12.7</c:v>
                </c:pt>
                <c:pt idx="36">
                  <c:v>11.8</c:v>
                </c:pt>
                <c:pt idx="37">
                  <c:v>11.2</c:v>
                </c:pt>
                <c:pt idx="38">
                  <c:v>12.7</c:v>
                </c:pt>
                <c:pt idx="39">
                  <c:v>13.1</c:v>
                </c:pt>
                <c:pt idx="40">
                  <c:v>12.3</c:v>
                </c:pt>
                <c:pt idx="41">
                  <c:v>12.8</c:v>
                </c:pt>
                <c:pt idx="42">
                  <c:v>12.4</c:v>
                </c:pt>
                <c:pt idx="43">
                  <c:v>11.8</c:v>
                </c:pt>
                <c:pt idx="44">
                  <c:v>12.7</c:v>
                </c:pt>
                <c:pt idx="45">
                  <c:v>13</c:v>
                </c:pt>
                <c:pt idx="46">
                  <c:v>12.2</c:v>
                </c:pt>
                <c:pt idx="47">
                  <c:v>13.8</c:v>
                </c:pt>
                <c:pt idx="48">
                  <c:v>12.7</c:v>
                </c:pt>
                <c:pt idx="49">
                  <c:v>13.2</c:v>
                </c:pt>
                <c:pt idx="50">
                  <c:v>14.4</c:v>
                </c:pt>
                <c:pt idx="51">
                  <c:v>11.8</c:v>
                </c:pt>
                <c:pt idx="52">
                  <c:v>13.3</c:v>
                </c:pt>
                <c:pt idx="53">
                  <c:v>13.8</c:v>
                </c:pt>
                <c:pt idx="54">
                  <c:v>13.3</c:v>
                </c:pt>
                <c:pt idx="55">
                  <c:v>13.8</c:v>
                </c:pt>
                <c:pt idx="56">
                  <c:v>13.3</c:v>
                </c:pt>
                <c:pt idx="57">
                  <c:v>13.4</c:v>
                </c:pt>
                <c:pt idx="58">
                  <c:v>13.4</c:v>
                </c:pt>
                <c:pt idx="59">
                  <c:v>13.2</c:v>
                </c:pt>
                <c:pt idx="60">
                  <c:v>13.3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Иркутск</c:v>
                </c:pt>
              </c:strCache>
            </c:strRef>
          </c:tx>
          <c:marker>
            <c:symbol val="none"/>
          </c:marker>
          <c:cat>
            <c:numRef>
              <c:f>Лист1!$A$2:$A$62</c:f>
              <c:numCache>
                <c:formatCode>General</c:formatCode>
                <c:ptCount val="61"/>
                <c:pt idx="0">
                  <c:v>1960</c:v>
                </c:pt>
                <c:pt idx="1">
                  <c:v>1961</c:v>
                </c:pt>
                <c:pt idx="2">
                  <c:v>1962</c:v>
                </c:pt>
                <c:pt idx="3">
                  <c:v>1963</c:v>
                </c:pt>
                <c:pt idx="4">
                  <c:v>1964</c:v>
                </c:pt>
                <c:pt idx="5">
                  <c:v>1965</c:v>
                </c:pt>
                <c:pt idx="6">
                  <c:v>1966</c:v>
                </c:pt>
                <c:pt idx="7">
                  <c:v>1967</c:v>
                </c:pt>
                <c:pt idx="8">
                  <c:v>1968</c:v>
                </c:pt>
                <c:pt idx="9">
                  <c:v>1969</c:v>
                </c:pt>
                <c:pt idx="10">
                  <c:v>1970</c:v>
                </c:pt>
                <c:pt idx="11">
                  <c:v>1971</c:v>
                </c:pt>
                <c:pt idx="12">
                  <c:v>1972</c:v>
                </c:pt>
                <c:pt idx="13">
                  <c:v>1973</c:v>
                </c:pt>
                <c:pt idx="14">
                  <c:v>1974</c:v>
                </c:pt>
                <c:pt idx="15">
                  <c:v>1975</c:v>
                </c:pt>
                <c:pt idx="16">
                  <c:v>1976</c:v>
                </c:pt>
                <c:pt idx="17">
                  <c:v>1977</c:v>
                </c:pt>
                <c:pt idx="18">
                  <c:v>1978</c:v>
                </c:pt>
                <c:pt idx="19">
                  <c:v>1979</c:v>
                </c:pt>
                <c:pt idx="20">
                  <c:v>1980</c:v>
                </c:pt>
                <c:pt idx="21">
                  <c:v>1981</c:v>
                </c:pt>
                <c:pt idx="22">
                  <c:v>1982</c:v>
                </c:pt>
                <c:pt idx="23">
                  <c:v>1983</c:v>
                </c:pt>
                <c:pt idx="24">
                  <c:v>1984</c:v>
                </c:pt>
                <c:pt idx="25">
                  <c:v>1985</c:v>
                </c:pt>
                <c:pt idx="26">
                  <c:v>1986</c:v>
                </c:pt>
                <c:pt idx="27">
                  <c:v>1987</c:v>
                </c:pt>
                <c:pt idx="28">
                  <c:v>1988</c:v>
                </c:pt>
                <c:pt idx="29">
                  <c:v>1989</c:v>
                </c:pt>
                <c:pt idx="30">
                  <c:v>1990</c:v>
                </c:pt>
                <c:pt idx="31">
                  <c:v>1991</c:v>
                </c:pt>
                <c:pt idx="32">
                  <c:v>1992</c:v>
                </c:pt>
                <c:pt idx="33">
                  <c:v>1993</c:v>
                </c:pt>
                <c:pt idx="34">
                  <c:v>1994</c:v>
                </c:pt>
                <c:pt idx="35">
                  <c:v>1995</c:v>
                </c:pt>
                <c:pt idx="36">
                  <c:v>1996</c:v>
                </c:pt>
                <c:pt idx="37">
                  <c:v>1997</c:v>
                </c:pt>
                <c:pt idx="38">
                  <c:v>1998</c:v>
                </c:pt>
                <c:pt idx="39">
                  <c:v>1999</c:v>
                </c:pt>
                <c:pt idx="40">
                  <c:v>2000</c:v>
                </c:pt>
                <c:pt idx="41">
                  <c:v>2001</c:v>
                </c:pt>
                <c:pt idx="42">
                  <c:v>2002</c:v>
                </c:pt>
                <c:pt idx="43">
                  <c:v>2003</c:v>
                </c:pt>
                <c:pt idx="44">
                  <c:v>2004</c:v>
                </c:pt>
                <c:pt idx="45">
                  <c:v>2005</c:v>
                </c:pt>
                <c:pt idx="46">
                  <c:v>2006</c:v>
                </c:pt>
                <c:pt idx="47">
                  <c:v>2007</c:v>
                </c:pt>
                <c:pt idx="48">
                  <c:v>2008</c:v>
                </c:pt>
                <c:pt idx="49">
                  <c:v>2009</c:v>
                </c:pt>
                <c:pt idx="50">
                  <c:v>2010</c:v>
                </c:pt>
                <c:pt idx="51">
                  <c:v>2011</c:v>
                </c:pt>
                <c:pt idx="52">
                  <c:v>2012</c:v>
                </c:pt>
                <c:pt idx="53">
                  <c:v>2013</c:v>
                </c:pt>
                <c:pt idx="54">
                  <c:v>2014</c:v>
                </c:pt>
                <c:pt idx="55">
                  <c:v>2015</c:v>
                </c:pt>
                <c:pt idx="56">
                  <c:v>2016</c:v>
                </c:pt>
                <c:pt idx="57">
                  <c:v>2017</c:v>
                </c:pt>
                <c:pt idx="58">
                  <c:v>2018</c:v>
                </c:pt>
                <c:pt idx="59">
                  <c:v>2019</c:v>
                </c:pt>
                <c:pt idx="60">
                  <c:v>2020</c:v>
                </c:pt>
              </c:numCache>
            </c:numRef>
          </c:cat>
          <c:val>
            <c:numRef>
              <c:f>Лист1!$E$2:$E$62</c:f>
              <c:numCache>
                <c:formatCode>General</c:formatCode>
                <c:ptCount val="61"/>
                <c:pt idx="0">
                  <c:v>-0.60000000000000009</c:v>
                </c:pt>
                <c:pt idx="1">
                  <c:v>0</c:v>
                </c:pt>
                <c:pt idx="2">
                  <c:v>0.2</c:v>
                </c:pt>
                <c:pt idx="3">
                  <c:v>0.70000000000000007</c:v>
                </c:pt>
                <c:pt idx="4">
                  <c:v>0.1</c:v>
                </c:pt>
                <c:pt idx="5">
                  <c:v>0</c:v>
                </c:pt>
                <c:pt idx="6">
                  <c:v>-1</c:v>
                </c:pt>
                <c:pt idx="7">
                  <c:v>-0.1</c:v>
                </c:pt>
                <c:pt idx="8">
                  <c:v>-0.4</c:v>
                </c:pt>
                <c:pt idx="9">
                  <c:v>-1.7</c:v>
                </c:pt>
                <c:pt idx="10">
                  <c:v>-0.8</c:v>
                </c:pt>
                <c:pt idx="11">
                  <c:v>-0.1</c:v>
                </c:pt>
                <c:pt idx="12">
                  <c:v>-0.2</c:v>
                </c:pt>
                <c:pt idx="13">
                  <c:v>0.4</c:v>
                </c:pt>
                <c:pt idx="14">
                  <c:v>-1.1000000000000001</c:v>
                </c:pt>
                <c:pt idx="15">
                  <c:v>0.60000000000000009</c:v>
                </c:pt>
                <c:pt idx="16">
                  <c:v>-0.60000000000000009</c:v>
                </c:pt>
                <c:pt idx="17">
                  <c:v>-0.60000000000000009</c:v>
                </c:pt>
                <c:pt idx="18">
                  <c:v>0.8</c:v>
                </c:pt>
                <c:pt idx="19">
                  <c:v>0.30000000000000004</c:v>
                </c:pt>
                <c:pt idx="20">
                  <c:v>-0.4</c:v>
                </c:pt>
                <c:pt idx="21">
                  <c:v>0.2</c:v>
                </c:pt>
                <c:pt idx="22">
                  <c:v>0.5</c:v>
                </c:pt>
                <c:pt idx="23">
                  <c:v>1.1000000000000001</c:v>
                </c:pt>
                <c:pt idx="24">
                  <c:v>-0.8</c:v>
                </c:pt>
                <c:pt idx="25">
                  <c:v>-0.70000000000000007</c:v>
                </c:pt>
                <c:pt idx="26">
                  <c:v>0.9</c:v>
                </c:pt>
                <c:pt idx="27">
                  <c:v>-0.2</c:v>
                </c:pt>
                <c:pt idx="28">
                  <c:v>0.60000000000000009</c:v>
                </c:pt>
                <c:pt idx="29">
                  <c:v>1.4</c:v>
                </c:pt>
                <c:pt idx="30">
                  <c:v>2</c:v>
                </c:pt>
                <c:pt idx="31">
                  <c:v>0.5</c:v>
                </c:pt>
                <c:pt idx="32">
                  <c:v>1.5</c:v>
                </c:pt>
                <c:pt idx="33">
                  <c:v>1.6</c:v>
                </c:pt>
                <c:pt idx="34">
                  <c:v>1.4</c:v>
                </c:pt>
                <c:pt idx="35" formatCode="0.00">
                  <c:v>2.1</c:v>
                </c:pt>
                <c:pt idx="36" formatCode="0.00">
                  <c:v>0.8</c:v>
                </c:pt>
                <c:pt idx="37" formatCode="0.00">
                  <c:v>2.2000000000000002</c:v>
                </c:pt>
                <c:pt idx="38" formatCode="0.00">
                  <c:v>1.2</c:v>
                </c:pt>
                <c:pt idx="39" formatCode="0.00">
                  <c:v>0.70000000000000007</c:v>
                </c:pt>
                <c:pt idx="40" formatCode="0.00">
                  <c:v>0.30000000000000004</c:v>
                </c:pt>
                <c:pt idx="41" formatCode="0.00">
                  <c:v>0.60000000000000009</c:v>
                </c:pt>
                <c:pt idx="42" formatCode="0.00">
                  <c:v>2.1</c:v>
                </c:pt>
                <c:pt idx="43" formatCode="0.00">
                  <c:v>1.4</c:v>
                </c:pt>
                <c:pt idx="44" formatCode="0.00">
                  <c:v>1.5</c:v>
                </c:pt>
                <c:pt idx="45" formatCode="0.00">
                  <c:v>1</c:v>
                </c:pt>
                <c:pt idx="46" formatCode="0.00">
                  <c:v>0.70000000000000007</c:v>
                </c:pt>
                <c:pt idx="47" formatCode="0.00">
                  <c:v>3</c:v>
                </c:pt>
                <c:pt idx="48" formatCode="0.00">
                  <c:v>1.4</c:v>
                </c:pt>
                <c:pt idx="49" formatCode="0.00">
                  <c:v>0.5</c:v>
                </c:pt>
                <c:pt idx="50" formatCode="0.00">
                  <c:v>-0.4</c:v>
                </c:pt>
                <c:pt idx="51" formatCode="0.00">
                  <c:v>1.4</c:v>
                </c:pt>
                <c:pt idx="52" formatCode="0.00">
                  <c:v>0.1</c:v>
                </c:pt>
                <c:pt idx="53" formatCode="0.00">
                  <c:v>1.5</c:v>
                </c:pt>
                <c:pt idx="54" formatCode="0.00">
                  <c:v>1.9000000000000001</c:v>
                </c:pt>
                <c:pt idx="55" formatCode="0.00">
                  <c:v>3</c:v>
                </c:pt>
                <c:pt idx="56" formatCode="0.00">
                  <c:v>1.5</c:v>
                </c:pt>
                <c:pt idx="57" formatCode="0.00">
                  <c:v>2.6</c:v>
                </c:pt>
                <c:pt idx="58" formatCode="0.00">
                  <c:v>1.3</c:v>
                </c:pt>
                <c:pt idx="59" formatCode="0.00">
                  <c:v>2.1</c:v>
                </c:pt>
                <c:pt idx="60" formatCode="0.00">
                  <c:v>2.8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Анадырь</c:v>
                </c:pt>
              </c:strCache>
            </c:strRef>
          </c:tx>
          <c:marker>
            <c:symbol val="none"/>
          </c:marker>
          <c:cat>
            <c:numRef>
              <c:f>Лист1!$A$2:$A$62</c:f>
              <c:numCache>
                <c:formatCode>General</c:formatCode>
                <c:ptCount val="61"/>
                <c:pt idx="0">
                  <c:v>1960</c:v>
                </c:pt>
                <c:pt idx="1">
                  <c:v>1961</c:v>
                </c:pt>
                <c:pt idx="2">
                  <c:v>1962</c:v>
                </c:pt>
                <c:pt idx="3">
                  <c:v>1963</c:v>
                </c:pt>
                <c:pt idx="4">
                  <c:v>1964</c:v>
                </c:pt>
                <c:pt idx="5">
                  <c:v>1965</c:v>
                </c:pt>
                <c:pt idx="6">
                  <c:v>1966</c:v>
                </c:pt>
                <c:pt idx="7">
                  <c:v>1967</c:v>
                </c:pt>
                <c:pt idx="8">
                  <c:v>1968</c:v>
                </c:pt>
                <c:pt idx="9">
                  <c:v>1969</c:v>
                </c:pt>
                <c:pt idx="10">
                  <c:v>1970</c:v>
                </c:pt>
                <c:pt idx="11">
                  <c:v>1971</c:v>
                </c:pt>
                <c:pt idx="12">
                  <c:v>1972</c:v>
                </c:pt>
                <c:pt idx="13">
                  <c:v>1973</c:v>
                </c:pt>
                <c:pt idx="14">
                  <c:v>1974</c:v>
                </c:pt>
                <c:pt idx="15">
                  <c:v>1975</c:v>
                </c:pt>
                <c:pt idx="16">
                  <c:v>1976</c:v>
                </c:pt>
                <c:pt idx="17">
                  <c:v>1977</c:v>
                </c:pt>
                <c:pt idx="18">
                  <c:v>1978</c:v>
                </c:pt>
                <c:pt idx="19">
                  <c:v>1979</c:v>
                </c:pt>
                <c:pt idx="20">
                  <c:v>1980</c:v>
                </c:pt>
                <c:pt idx="21">
                  <c:v>1981</c:v>
                </c:pt>
                <c:pt idx="22">
                  <c:v>1982</c:v>
                </c:pt>
                <c:pt idx="23">
                  <c:v>1983</c:v>
                </c:pt>
                <c:pt idx="24">
                  <c:v>1984</c:v>
                </c:pt>
                <c:pt idx="25">
                  <c:v>1985</c:v>
                </c:pt>
                <c:pt idx="26">
                  <c:v>1986</c:v>
                </c:pt>
                <c:pt idx="27">
                  <c:v>1987</c:v>
                </c:pt>
                <c:pt idx="28">
                  <c:v>1988</c:v>
                </c:pt>
                <c:pt idx="29">
                  <c:v>1989</c:v>
                </c:pt>
                <c:pt idx="30">
                  <c:v>1990</c:v>
                </c:pt>
                <c:pt idx="31">
                  <c:v>1991</c:v>
                </c:pt>
                <c:pt idx="32">
                  <c:v>1992</c:v>
                </c:pt>
                <c:pt idx="33">
                  <c:v>1993</c:v>
                </c:pt>
                <c:pt idx="34">
                  <c:v>1994</c:v>
                </c:pt>
                <c:pt idx="35">
                  <c:v>1995</c:v>
                </c:pt>
                <c:pt idx="36">
                  <c:v>1996</c:v>
                </c:pt>
                <c:pt idx="37">
                  <c:v>1997</c:v>
                </c:pt>
                <c:pt idx="38">
                  <c:v>1998</c:v>
                </c:pt>
                <c:pt idx="39">
                  <c:v>1999</c:v>
                </c:pt>
                <c:pt idx="40">
                  <c:v>2000</c:v>
                </c:pt>
                <c:pt idx="41">
                  <c:v>2001</c:v>
                </c:pt>
                <c:pt idx="42">
                  <c:v>2002</c:v>
                </c:pt>
                <c:pt idx="43">
                  <c:v>2003</c:v>
                </c:pt>
                <c:pt idx="44">
                  <c:v>2004</c:v>
                </c:pt>
                <c:pt idx="45">
                  <c:v>2005</c:v>
                </c:pt>
                <c:pt idx="46">
                  <c:v>2006</c:v>
                </c:pt>
                <c:pt idx="47">
                  <c:v>2007</c:v>
                </c:pt>
                <c:pt idx="48">
                  <c:v>2008</c:v>
                </c:pt>
                <c:pt idx="49">
                  <c:v>2009</c:v>
                </c:pt>
                <c:pt idx="50">
                  <c:v>2010</c:v>
                </c:pt>
                <c:pt idx="51">
                  <c:v>2011</c:v>
                </c:pt>
                <c:pt idx="52">
                  <c:v>2012</c:v>
                </c:pt>
                <c:pt idx="53">
                  <c:v>2013</c:v>
                </c:pt>
                <c:pt idx="54">
                  <c:v>2014</c:v>
                </c:pt>
                <c:pt idx="55">
                  <c:v>2015</c:v>
                </c:pt>
                <c:pt idx="56">
                  <c:v>2016</c:v>
                </c:pt>
                <c:pt idx="57">
                  <c:v>2017</c:v>
                </c:pt>
                <c:pt idx="58">
                  <c:v>2018</c:v>
                </c:pt>
                <c:pt idx="59">
                  <c:v>2019</c:v>
                </c:pt>
                <c:pt idx="60">
                  <c:v>2020</c:v>
                </c:pt>
              </c:numCache>
            </c:numRef>
          </c:cat>
          <c:val>
            <c:numRef>
              <c:f>Лист1!$F$2:$F$62</c:f>
              <c:numCache>
                <c:formatCode>General</c:formatCode>
                <c:ptCount val="61"/>
                <c:pt idx="0">
                  <c:v>-7.1</c:v>
                </c:pt>
                <c:pt idx="1">
                  <c:v>-8.6</c:v>
                </c:pt>
                <c:pt idx="2">
                  <c:v>-5.4</c:v>
                </c:pt>
                <c:pt idx="3">
                  <c:v>-7.1</c:v>
                </c:pt>
                <c:pt idx="4">
                  <c:v>-8.9</c:v>
                </c:pt>
                <c:pt idx="5">
                  <c:v>-9.3000000000000007</c:v>
                </c:pt>
                <c:pt idx="6">
                  <c:v>-7.2</c:v>
                </c:pt>
                <c:pt idx="7">
                  <c:v>-5.7</c:v>
                </c:pt>
                <c:pt idx="8">
                  <c:v>-7.7</c:v>
                </c:pt>
                <c:pt idx="9">
                  <c:v>-7.6</c:v>
                </c:pt>
                <c:pt idx="10">
                  <c:v>-6.6</c:v>
                </c:pt>
                <c:pt idx="11">
                  <c:v>-8.5</c:v>
                </c:pt>
                <c:pt idx="12">
                  <c:v>-8</c:v>
                </c:pt>
                <c:pt idx="13">
                  <c:v>-8.7000000000000011</c:v>
                </c:pt>
                <c:pt idx="14">
                  <c:v>-8</c:v>
                </c:pt>
                <c:pt idx="15">
                  <c:v>-8.7000000000000011</c:v>
                </c:pt>
                <c:pt idx="16">
                  <c:v>-10.1</c:v>
                </c:pt>
                <c:pt idx="17">
                  <c:v>-8</c:v>
                </c:pt>
                <c:pt idx="18">
                  <c:v>-6.7</c:v>
                </c:pt>
                <c:pt idx="19">
                  <c:v>-6.6</c:v>
                </c:pt>
                <c:pt idx="20">
                  <c:v>-8.6</c:v>
                </c:pt>
                <c:pt idx="21">
                  <c:v>-6.8</c:v>
                </c:pt>
                <c:pt idx="22">
                  <c:v>-6.3</c:v>
                </c:pt>
                <c:pt idx="23">
                  <c:v>-7.2</c:v>
                </c:pt>
                <c:pt idx="24">
                  <c:v>-7.5</c:v>
                </c:pt>
                <c:pt idx="25">
                  <c:v>-8</c:v>
                </c:pt>
                <c:pt idx="26">
                  <c:v>-6.7</c:v>
                </c:pt>
                <c:pt idx="27">
                  <c:v>-8.8000000000000007</c:v>
                </c:pt>
                <c:pt idx="28">
                  <c:v>-7.9</c:v>
                </c:pt>
                <c:pt idx="29">
                  <c:v>-6.7</c:v>
                </c:pt>
                <c:pt idx="30">
                  <c:v>-7.6</c:v>
                </c:pt>
                <c:pt idx="31">
                  <c:v>-6.2</c:v>
                </c:pt>
                <c:pt idx="32">
                  <c:v>-7.7</c:v>
                </c:pt>
                <c:pt idx="33">
                  <c:v>-7.6</c:v>
                </c:pt>
                <c:pt idx="34">
                  <c:v>-8</c:v>
                </c:pt>
                <c:pt idx="35">
                  <c:v>-6.3</c:v>
                </c:pt>
                <c:pt idx="36">
                  <c:v>-4.4000000000000004</c:v>
                </c:pt>
                <c:pt idx="37">
                  <c:v>-6</c:v>
                </c:pt>
                <c:pt idx="38">
                  <c:v>-7.9</c:v>
                </c:pt>
                <c:pt idx="39">
                  <c:v>-9.3000000000000007</c:v>
                </c:pt>
                <c:pt idx="40">
                  <c:v>-6.1</c:v>
                </c:pt>
                <c:pt idx="41">
                  <c:v>-7.4</c:v>
                </c:pt>
                <c:pt idx="42">
                  <c:v>-5.9</c:v>
                </c:pt>
                <c:pt idx="43">
                  <c:v>-5.6</c:v>
                </c:pt>
                <c:pt idx="44">
                  <c:v>-5.5</c:v>
                </c:pt>
                <c:pt idx="45">
                  <c:v>-7.3</c:v>
                </c:pt>
                <c:pt idx="46">
                  <c:v>-6.7</c:v>
                </c:pt>
                <c:pt idx="47">
                  <c:v>-4.7</c:v>
                </c:pt>
                <c:pt idx="48">
                  <c:v>-7.9</c:v>
                </c:pt>
                <c:pt idx="49">
                  <c:v>-7.2</c:v>
                </c:pt>
                <c:pt idx="50">
                  <c:v>-6.4</c:v>
                </c:pt>
                <c:pt idx="51">
                  <c:v>-6.2</c:v>
                </c:pt>
                <c:pt idx="52">
                  <c:v>-7.1</c:v>
                </c:pt>
                <c:pt idx="53">
                  <c:v>-6.3</c:v>
                </c:pt>
                <c:pt idx="54">
                  <c:v>-3.8</c:v>
                </c:pt>
                <c:pt idx="55">
                  <c:v>-6.4</c:v>
                </c:pt>
                <c:pt idx="56">
                  <c:v>-3.8</c:v>
                </c:pt>
                <c:pt idx="57">
                  <c:v>-4</c:v>
                </c:pt>
                <c:pt idx="58">
                  <c:v>-4.4000000000000004</c:v>
                </c:pt>
                <c:pt idx="59">
                  <c:v>-3.7</c:v>
                </c:pt>
                <c:pt idx="60">
                  <c:v>-4.8</c:v>
                </c:pt>
              </c:numCache>
            </c:numRef>
          </c:val>
        </c:ser>
        <c:marker val="1"/>
        <c:axId val="41474688"/>
        <c:axId val="60400000"/>
      </c:lineChart>
      <c:catAx>
        <c:axId val="41474688"/>
        <c:scaling>
          <c:orientation val="minMax"/>
        </c:scaling>
        <c:axPos val="b"/>
        <c:numFmt formatCode="General" sourceLinked="1"/>
        <c:majorTickMark val="none"/>
        <c:tickLblPos val="nextTo"/>
        <c:crossAx val="60400000"/>
        <c:crosses val="autoZero"/>
        <c:auto val="1"/>
        <c:lblAlgn val="ctr"/>
        <c:lblOffset val="100"/>
      </c:catAx>
      <c:valAx>
        <c:axId val="60400000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температура</a:t>
                </a:r>
                <a:r>
                  <a:rPr lang="ru-RU" baseline="0"/>
                  <a:t> воздуха, ⁰С </a:t>
                </a:r>
                <a:endParaRPr lang="ru-RU"/>
              </a:p>
            </c:rich>
          </c:tx>
        </c:title>
        <c:numFmt formatCode="General" sourceLinked="1"/>
        <c:majorTickMark val="none"/>
        <c:tickLblPos val="nextTo"/>
        <c:crossAx val="41474688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egendEntry>
        <c:idx val="-1"/>
        <c:delete val="1"/>
      </c:legendEntry>
    </c:legend>
    <c:plotVisOnly val="1"/>
    <c:dispBlanksAs val="zero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858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5</cp:revision>
  <dcterms:created xsi:type="dcterms:W3CDTF">2021-02-19T06:02:00Z</dcterms:created>
  <dcterms:modified xsi:type="dcterms:W3CDTF">2021-02-23T16:06:00Z</dcterms:modified>
</cp:coreProperties>
</file>